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2B80" w14:textId="77777777" w:rsidR="00491AD6" w:rsidRPr="003B30B6" w:rsidRDefault="00491AD6" w:rsidP="00491AD6">
      <w:pPr>
        <w:pStyle w:val="Naslov"/>
        <w:jc w:val="left"/>
        <w:rPr>
          <w:szCs w:val="28"/>
        </w:rPr>
      </w:pPr>
      <w:r w:rsidRPr="003B30B6">
        <w:rPr>
          <w:szCs w:val="28"/>
        </w:rPr>
        <w:t>Državni proračun Republike Hrvatske</w:t>
      </w:r>
    </w:p>
    <w:p w14:paraId="4A3E9967" w14:textId="77777777" w:rsidR="00491AD6" w:rsidRPr="003B30B6" w:rsidRDefault="00491AD6" w:rsidP="00491AD6">
      <w:pPr>
        <w:pStyle w:val="Naslov"/>
        <w:jc w:val="left"/>
        <w:rPr>
          <w:szCs w:val="28"/>
        </w:rPr>
      </w:pPr>
      <w:r w:rsidRPr="003B30B6">
        <w:rPr>
          <w:szCs w:val="28"/>
        </w:rPr>
        <w:t xml:space="preserve">Katančićeva 5 </w:t>
      </w:r>
    </w:p>
    <w:p w14:paraId="5E8FDE55" w14:textId="77777777" w:rsidR="00491AD6" w:rsidRPr="003B30B6" w:rsidRDefault="00491AD6" w:rsidP="00491AD6">
      <w:pPr>
        <w:pStyle w:val="Naslov"/>
        <w:jc w:val="left"/>
        <w:rPr>
          <w:szCs w:val="28"/>
        </w:rPr>
      </w:pPr>
      <w:r w:rsidRPr="003B30B6">
        <w:rPr>
          <w:szCs w:val="28"/>
        </w:rPr>
        <w:t>10000 Zagreb</w:t>
      </w:r>
    </w:p>
    <w:p w14:paraId="50513B85" w14:textId="77777777" w:rsidR="00491AD6" w:rsidRPr="003B30B6" w:rsidRDefault="00491AD6" w:rsidP="00491AD6">
      <w:pPr>
        <w:pStyle w:val="Naslov"/>
        <w:jc w:val="left"/>
        <w:rPr>
          <w:szCs w:val="28"/>
        </w:rPr>
      </w:pPr>
      <w:r w:rsidRPr="003B30B6">
        <w:rPr>
          <w:szCs w:val="28"/>
        </w:rPr>
        <w:t xml:space="preserve">Žiro račun: </w:t>
      </w:r>
      <w:r w:rsidRPr="003B30B6">
        <w:rPr>
          <w:rStyle w:val="Naglaeno"/>
        </w:rPr>
        <w:t>HR1210010051863000160</w:t>
      </w:r>
    </w:p>
    <w:p w14:paraId="57653295" w14:textId="77777777" w:rsidR="00491AD6" w:rsidRPr="003B30B6" w:rsidRDefault="00491AD6" w:rsidP="00491AD6">
      <w:pPr>
        <w:pStyle w:val="Naslov"/>
      </w:pPr>
    </w:p>
    <w:p w14:paraId="2121707B" w14:textId="77777777" w:rsidR="00A6340F" w:rsidRDefault="00491AD6" w:rsidP="00491AD6">
      <w:pPr>
        <w:pStyle w:val="Naslov"/>
        <w:ind w:left="567" w:right="567"/>
        <w:outlineLvl w:val="0"/>
      </w:pPr>
      <w:r w:rsidRPr="003B30B6">
        <w:t>BILJEŠKE UZ FINANCIJSKE IZVJEŠTAJE ZA RAZDOBLJE</w:t>
      </w:r>
      <w:r w:rsidR="007D71BC">
        <w:t xml:space="preserve"> </w:t>
      </w:r>
    </w:p>
    <w:p w14:paraId="60527317" w14:textId="38F609A3" w:rsidR="00491AD6" w:rsidRPr="003B30B6" w:rsidRDefault="00B80BFC" w:rsidP="00491AD6">
      <w:pPr>
        <w:pStyle w:val="Naslov"/>
        <w:ind w:left="567" w:right="567"/>
        <w:outlineLvl w:val="0"/>
      </w:pPr>
      <w:r>
        <w:t>1. SIJEČNJA – 31. PROSINCA 2022</w:t>
      </w:r>
      <w:r w:rsidR="00491AD6" w:rsidRPr="003B30B6">
        <w:t>.</w:t>
      </w:r>
    </w:p>
    <w:p w14:paraId="561627F3" w14:textId="77777777" w:rsidR="00491AD6" w:rsidRPr="003B30B6" w:rsidRDefault="00491AD6" w:rsidP="00491AD6">
      <w:pPr>
        <w:rPr>
          <w:b/>
          <w:bCs/>
        </w:rPr>
      </w:pPr>
    </w:p>
    <w:p w14:paraId="2B077304" w14:textId="77777777" w:rsidR="00491AD6" w:rsidRPr="00F4732E" w:rsidRDefault="00491AD6" w:rsidP="00AD213E">
      <w:pPr>
        <w:pStyle w:val="Naslov"/>
      </w:pPr>
      <w:r w:rsidRPr="00F4732E">
        <w:t>Zakonski okvir</w:t>
      </w:r>
    </w:p>
    <w:p w14:paraId="57D41CD8" w14:textId="77777777" w:rsidR="00491AD6" w:rsidRPr="00F4732E" w:rsidRDefault="00491AD6" w:rsidP="00491AD6"/>
    <w:p w14:paraId="7F6373BD" w14:textId="0C0FFBC5" w:rsidR="00491AD6" w:rsidRPr="00427BFD" w:rsidRDefault="00491AD6" w:rsidP="009F1B2E">
      <w:pPr>
        <w:numPr>
          <w:ilvl w:val="0"/>
          <w:numId w:val="1"/>
        </w:numPr>
        <w:jc w:val="both"/>
      </w:pPr>
      <w:r w:rsidRPr="00427BFD">
        <w:t>Zakon o proračunu (Naro</w:t>
      </w:r>
      <w:r w:rsidR="00100BCF" w:rsidRPr="00427BFD">
        <w:t>dne novine, br. 144/21</w:t>
      </w:r>
      <w:r w:rsidRPr="00427BFD">
        <w:t>)</w:t>
      </w:r>
    </w:p>
    <w:p w14:paraId="255C21BB" w14:textId="22589573" w:rsidR="00491AD6" w:rsidRPr="00427BFD" w:rsidRDefault="00100BCF" w:rsidP="00100BCF">
      <w:pPr>
        <w:numPr>
          <w:ilvl w:val="0"/>
          <w:numId w:val="1"/>
        </w:numPr>
        <w:jc w:val="both"/>
      </w:pPr>
      <w:bookmarkStart w:id="0" w:name="OLE_LINK3"/>
      <w:r w:rsidRPr="00427BFD">
        <w:t xml:space="preserve">Zakon o izvršavanju Državnog proračuna Republike Hrvatske za 2022. godinu </w:t>
      </w:r>
      <w:r w:rsidR="00491AD6" w:rsidRPr="00427BFD">
        <w:t>(Narodne novine, br.</w:t>
      </w:r>
      <w:bookmarkEnd w:id="0"/>
      <w:r w:rsidR="00491AD6" w:rsidRPr="00427BFD">
        <w:t xml:space="preserve"> </w:t>
      </w:r>
      <w:r w:rsidRPr="00427BFD">
        <w:t>62/22, 131/22</w:t>
      </w:r>
      <w:r w:rsidR="00491AD6" w:rsidRPr="00427BFD">
        <w:t>)</w:t>
      </w:r>
    </w:p>
    <w:p w14:paraId="5A86D760" w14:textId="77777777" w:rsidR="00491AD6" w:rsidRPr="00427BFD" w:rsidRDefault="00491AD6" w:rsidP="009F1B2E">
      <w:pPr>
        <w:numPr>
          <w:ilvl w:val="0"/>
          <w:numId w:val="1"/>
        </w:numPr>
        <w:jc w:val="both"/>
      </w:pPr>
      <w:r w:rsidRPr="00427BFD">
        <w:t>Pravilnik o proračunskom računovodstvu i računskom planu (Narodne novine, br. 124/14, 115/15, 87/16, 3/18, 126/19 i 108/20)</w:t>
      </w:r>
    </w:p>
    <w:p w14:paraId="020172EB" w14:textId="2F1D1842" w:rsidR="00491AD6" w:rsidRPr="00427BFD" w:rsidRDefault="00491AD6" w:rsidP="009F1B2E">
      <w:pPr>
        <w:numPr>
          <w:ilvl w:val="0"/>
          <w:numId w:val="1"/>
        </w:numPr>
        <w:jc w:val="both"/>
      </w:pPr>
      <w:r w:rsidRPr="00427BFD">
        <w:t xml:space="preserve">Pravilnik o financijskom izvještavanju u proračunskom računovodstvu (Narodne novine, br. </w:t>
      </w:r>
      <w:r w:rsidR="00100BCF" w:rsidRPr="00427BFD">
        <w:t>37/22</w:t>
      </w:r>
      <w:r w:rsidRPr="00427BFD">
        <w:t>)</w:t>
      </w:r>
    </w:p>
    <w:p w14:paraId="0CA24A36" w14:textId="7CBD44DE" w:rsidR="00491AD6" w:rsidRPr="00427BFD" w:rsidRDefault="00491AD6" w:rsidP="009F1B2E">
      <w:pPr>
        <w:numPr>
          <w:ilvl w:val="0"/>
          <w:numId w:val="1"/>
        </w:numPr>
        <w:jc w:val="both"/>
      </w:pPr>
      <w:r w:rsidRPr="00427BFD">
        <w:t>Pravilnik o proračunskim klasifikacijama (Naro</w:t>
      </w:r>
      <w:r w:rsidR="00100BCF" w:rsidRPr="00427BFD">
        <w:t xml:space="preserve">dne novine, br. 6/10, 120/13 i </w:t>
      </w:r>
      <w:r w:rsidRPr="00427BFD">
        <w:t xml:space="preserve">1/20) </w:t>
      </w:r>
    </w:p>
    <w:p w14:paraId="4905ACDF" w14:textId="77777777" w:rsidR="00491AD6" w:rsidRPr="003B30B6" w:rsidRDefault="00491AD6" w:rsidP="00491AD6">
      <w:pPr>
        <w:rPr>
          <w:b/>
          <w:bCs/>
          <w:sz w:val="28"/>
        </w:rPr>
      </w:pPr>
    </w:p>
    <w:p w14:paraId="79C5BAC5" w14:textId="77777777" w:rsidR="00491AD6" w:rsidRPr="003B30B6" w:rsidRDefault="00491AD6" w:rsidP="00491AD6">
      <w:pPr>
        <w:pStyle w:val="Naslov1"/>
      </w:pPr>
      <w:r w:rsidRPr="003B30B6">
        <w:t>BILJEŠKE UZ IZVJEŠTAJ O PRIHODIMA I RASHODIMA, PRIMICIMA I IZDACIMA</w:t>
      </w:r>
    </w:p>
    <w:p w14:paraId="319B0B55" w14:textId="77777777" w:rsidR="00491AD6" w:rsidRPr="003B30B6" w:rsidRDefault="00491AD6" w:rsidP="00491AD6">
      <w:pPr>
        <w:rPr>
          <w:b/>
          <w:bCs/>
        </w:rPr>
      </w:pPr>
    </w:p>
    <w:p w14:paraId="240E87C9" w14:textId="6044B116" w:rsidR="00491AD6" w:rsidRDefault="00491AD6" w:rsidP="00491AD6">
      <w:pPr>
        <w:pStyle w:val="Naslov"/>
        <w:rPr>
          <w:b w:val="0"/>
          <w:bCs w:val="0"/>
        </w:rPr>
      </w:pPr>
      <w:r w:rsidRPr="00427BFD">
        <w:rPr>
          <w:b w:val="0"/>
          <w:bCs w:val="0"/>
        </w:rPr>
        <w:t xml:space="preserve">Bilješka 1. </w:t>
      </w:r>
    </w:p>
    <w:p w14:paraId="464A8CE8" w14:textId="77777777" w:rsidR="00672CE4" w:rsidRPr="00427BFD" w:rsidRDefault="00672CE4" w:rsidP="00491AD6">
      <w:pPr>
        <w:pStyle w:val="Naslov"/>
        <w:rPr>
          <w:b w:val="0"/>
          <w:bCs w:val="0"/>
        </w:rPr>
      </w:pPr>
    </w:p>
    <w:p w14:paraId="0E0A7F0B" w14:textId="0C8610DF" w:rsidR="007310AE" w:rsidRDefault="00491AD6" w:rsidP="007310AE">
      <w:pPr>
        <w:jc w:val="both"/>
        <w:rPr>
          <w:shd w:val="clear" w:color="auto" w:fill="FFFFFF"/>
        </w:rPr>
      </w:pPr>
      <w:r w:rsidRPr="00427BFD">
        <w:t xml:space="preserve">Izvještaj o prihodima i rashodima, primicima i izdacima sastavljen je za razdoblje </w:t>
      </w:r>
      <w:r w:rsidR="00F27A2F" w:rsidRPr="00427BFD">
        <w:t>1. siječnja do 31. prosinca 2022</w:t>
      </w:r>
      <w:r w:rsidRPr="00427BFD">
        <w:t xml:space="preserve">. </w:t>
      </w:r>
      <w:r w:rsidR="00672CE4">
        <w:t xml:space="preserve">godine </w:t>
      </w:r>
      <w:r w:rsidRPr="00427BFD">
        <w:t>i uključuje prihode i primitke, rashode i izdatke Državnog proračuna</w:t>
      </w:r>
      <w:r w:rsidR="007310AE">
        <w:t xml:space="preserve"> odnosno poslovne događaje glave 06</w:t>
      </w:r>
      <w:r w:rsidR="007310AE" w:rsidRPr="007310AE">
        <w:t xml:space="preserve"> Ministarstva financija</w:t>
      </w:r>
      <w:r w:rsidR="007310AE">
        <w:t xml:space="preserve"> – ostali izdaci države evidentirane u Glavnoj knjizi</w:t>
      </w:r>
      <w:r w:rsidR="007310AE" w:rsidRPr="007310AE">
        <w:t xml:space="preserve"> </w:t>
      </w:r>
      <w:r w:rsidR="007310AE">
        <w:t xml:space="preserve">državnog </w:t>
      </w:r>
      <w:r w:rsidR="007310AE" w:rsidRPr="007310AE">
        <w:t>proračuna</w:t>
      </w:r>
      <w:r w:rsidR="007310AE">
        <w:t>.</w:t>
      </w:r>
      <w:r w:rsidR="007310AE" w:rsidRPr="007310AE">
        <w:rPr>
          <w:shd w:val="clear" w:color="auto" w:fill="FFFFFF"/>
        </w:rPr>
        <w:t xml:space="preserve"> </w:t>
      </w:r>
      <w:r w:rsidR="007310AE">
        <w:rPr>
          <w:shd w:val="clear" w:color="auto" w:fill="FFFFFF"/>
        </w:rPr>
        <w:t>U ovom izvještaju ne iskazuju se prihodi i rashodi, primici i izdaci proračunskih korisnika po prirodnoj vrsti troška jer su oni na taj način iskazani u glavnim knjigama proračunskih korisnika i njihovim financijskim izvještajima.</w:t>
      </w:r>
      <w:r w:rsidR="007310AE" w:rsidRPr="007310AE">
        <w:rPr>
          <w:shd w:val="clear" w:color="auto" w:fill="FFFFFF"/>
        </w:rPr>
        <w:t xml:space="preserve"> </w:t>
      </w:r>
      <w:r w:rsidR="007310AE">
        <w:rPr>
          <w:shd w:val="clear" w:color="auto" w:fill="FFFFFF"/>
        </w:rPr>
        <w:t>U ovom izvještaju iskazuju se prijenosi proračunskim korisnicima za financiranje njihove redovne djelatnosti koji se kod izrade konsolidiranog financijskog izvještaja državnog proračuna eliminiraju s obzirom da se radi o međusobnim transakcijama između Državnog proračuna i proračunskih korisnika državnog proračuna.</w:t>
      </w:r>
    </w:p>
    <w:p w14:paraId="678503B7" w14:textId="3995FB19" w:rsidR="007310AE" w:rsidRDefault="007310AE" w:rsidP="00491AD6">
      <w:pPr>
        <w:pStyle w:val="Tijeloteksta"/>
      </w:pPr>
    </w:p>
    <w:p w14:paraId="16F002AF" w14:textId="0A5AA26C" w:rsidR="00491AD6" w:rsidRPr="00427BFD" w:rsidRDefault="00491AD6" w:rsidP="00491AD6">
      <w:pPr>
        <w:pStyle w:val="Tijeloteksta"/>
      </w:pPr>
      <w:r w:rsidRPr="00427BFD">
        <w:t xml:space="preserve">Podaci za popunjavanje financijskih izvještaja dobivaju se iz Glavne knjige proračuna koju informatički podržava SAP sustav. </w:t>
      </w:r>
    </w:p>
    <w:p w14:paraId="10A3A27C" w14:textId="77777777" w:rsidR="00491AD6" w:rsidRPr="00427BFD" w:rsidRDefault="00491AD6" w:rsidP="00491AD6">
      <w:pPr>
        <w:pStyle w:val="Tijeloteksta"/>
      </w:pPr>
    </w:p>
    <w:p w14:paraId="709D1748" w14:textId="1977A62C" w:rsidR="00491AD6" w:rsidRDefault="00491AD6" w:rsidP="00491AD6">
      <w:pPr>
        <w:pStyle w:val="Tijeloteksta"/>
      </w:pPr>
      <w:r w:rsidRPr="00427BFD">
        <w:t>Poslovanje Državnog proračuna obavlja se preko jedinstvenog računa riznice u HNB broj: HR1210010051863000160 za kunsko poslovanje i deviznih računa u poslovnim bankama.</w:t>
      </w:r>
      <w:r w:rsidRPr="00F4732E">
        <w:t xml:space="preserve"> </w:t>
      </w:r>
    </w:p>
    <w:p w14:paraId="326C4424" w14:textId="23B9613A" w:rsidR="007310AE" w:rsidRPr="00F4732E" w:rsidRDefault="007310AE" w:rsidP="00491AD6">
      <w:pPr>
        <w:pStyle w:val="Tijeloteksta"/>
      </w:pPr>
    </w:p>
    <w:p w14:paraId="559313C0" w14:textId="77777777" w:rsidR="00491AD6" w:rsidRPr="00F4732E" w:rsidRDefault="00491AD6" w:rsidP="00491AD6">
      <w:pPr>
        <w:pStyle w:val="Tijeloteksta"/>
        <w:rPr>
          <w:b/>
          <w:bCs/>
        </w:rPr>
      </w:pPr>
    </w:p>
    <w:p w14:paraId="06698A7D" w14:textId="77777777" w:rsidR="00491AD6" w:rsidRPr="00E549B3" w:rsidRDefault="00491AD6" w:rsidP="00491AD6">
      <w:pPr>
        <w:pStyle w:val="Naslov"/>
        <w:rPr>
          <w:b w:val="0"/>
          <w:bCs w:val="0"/>
        </w:rPr>
      </w:pPr>
      <w:r w:rsidRPr="00E549B3">
        <w:rPr>
          <w:b w:val="0"/>
          <w:bCs w:val="0"/>
        </w:rPr>
        <w:t>Bilješka 2.</w:t>
      </w:r>
    </w:p>
    <w:p w14:paraId="19F299CE" w14:textId="77777777" w:rsidR="00491AD6" w:rsidRPr="00F27A2F" w:rsidRDefault="00491AD6" w:rsidP="00491AD6">
      <w:pPr>
        <w:pStyle w:val="Tijeloteksta"/>
        <w:jc w:val="left"/>
        <w:rPr>
          <w:highlight w:val="yellow"/>
        </w:rPr>
      </w:pPr>
    </w:p>
    <w:p w14:paraId="743084F7" w14:textId="77777777" w:rsidR="00DB7C7F" w:rsidRPr="00427BFD" w:rsidRDefault="00DB7C7F" w:rsidP="00DB7C7F">
      <w:pPr>
        <w:pStyle w:val="Tijeloteksta"/>
        <w:jc w:val="left"/>
      </w:pPr>
      <w:r w:rsidRPr="00427BFD">
        <w:t>U obrascu PR-RAS iskazani su:</w:t>
      </w: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088"/>
        <w:gridCol w:w="2268"/>
      </w:tblGrid>
      <w:tr w:rsidR="00DB7C7F" w:rsidRPr="00427BFD" w14:paraId="594A1173" w14:textId="77777777" w:rsidTr="00DD5B47">
        <w:trPr>
          <w:trHeight w:val="340"/>
        </w:trPr>
        <w:tc>
          <w:tcPr>
            <w:tcW w:w="7088" w:type="dxa"/>
            <w:shd w:val="clear" w:color="auto" w:fill="auto"/>
            <w:vAlign w:val="center"/>
          </w:tcPr>
          <w:p w14:paraId="0469E2A8" w14:textId="77777777" w:rsidR="00DB7C7F" w:rsidRPr="00427BFD" w:rsidRDefault="00DB7C7F" w:rsidP="00DD5B47">
            <w:pPr>
              <w:pStyle w:val="Tijeloteksta"/>
              <w:numPr>
                <w:ilvl w:val="0"/>
                <w:numId w:val="7"/>
              </w:numPr>
              <w:ind w:left="459"/>
              <w:jc w:val="left"/>
            </w:pPr>
            <w:bookmarkStart w:id="1" w:name="_Hlk382850900"/>
            <w:r w:rsidRPr="00427BFD">
              <w:t>ukupni prihodi poslovanja (Šifra 6)</w:t>
            </w:r>
          </w:p>
        </w:tc>
        <w:tc>
          <w:tcPr>
            <w:tcW w:w="2268" w:type="dxa"/>
            <w:shd w:val="clear" w:color="auto" w:fill="auto"/>
            <w:vAlign w:val="center"/>
          </w:tcPr>
          <w:p w14:paraId="6D29024C" w14:textId="77777777" w:rsidR="00DB7C7F" w:rsidRPr="00427BFD" w:rsidRDefault="00DB7C7F" w:rsidP="00DD5B47">
            <w:pPr>
              <w:pStyle w:val="Tijeloteksta"/>
              <w:jc w:val="right"/>
            </w:pPr>
            <w:r w:rsidRPr="00427BFD">
              <w:t>104.853.513.035,28</w:t>
            </w:r>
          </w:p>
        </w:tc>
      </w:tr>
      <w:tr w:rsidR="00DB7C7F" w:rsidRPr="00427BFD" w14:paraId="0AB772FE" w14:textId="77777777" w:rsidTr="00DD5B47">
        <w:trPr>
          <w:trHeight w:val="340"/>
        </w:trPr>
        <w:tc>
          <w:tcPr>
            <w:tcW w:w="7088" w:type="dxa"/>
            <w:shd w:val="clear" w:color="auto" w:fill="auto"/>
            <w:vAlign w:val="center"/>
          </w:tcPr>
          <w:p w14:paraId="098C3BBA" w14:textId="77777777" w:rsidR="00DB7C7F" w:rsidRPr="00427BFD" w:rsidRDefault="00DB7C7F" w:rsidP="00DD5B47">
            <w:pPr>
              <w:pStyle w:val="Tijeloteksta"/>
              <w:numPr>
                <w:ilvl w:val="0"/>
                <w:numId w:val="7"/>
              </w:numPr>
              <w:ind w:left="459"/>
              <w:jc w:val="left"/>
            </w:pPr>
            <w:r w:rsidRPr="00427BFD">
              <w:t xml:space="preserve">ukupni rashodi poslovanja (Šifra 3) </w:t>
            </w:r>
          </w:p>
        </w:tc>
        <w:tc>
          <w:tcPr>
            <w:tcW w:w="2268" w:type="dxa"/>
            <w:shd w:val="clear" w:color="auto" w:fill="auto"/>
            <w:vAlign w:val="center"/>
          </w:tcPr>
          <w:p w14:paraId="63DC04F7" w14:textId="77777777" w:rsidR="00DB7C7F" w:rsidRPr="00427BFD" w:rsidRDefault="00DB7C7F" w:rsidP="00DD5B47">
            <w:pPr>
              <w:pStyle w:val="Tijeloteksta"/>
              <w:jc w:val="right"/>
            </w:pPr>
            <w:r w:rsidRPr="00427BFD">
              <w:t>110.561.744.532,17</w:t>
            </w:r>
          </w:p>
        </w:tc>
      </w:tr>
      <w:tr w:rsidR="00DB7C7F" w:rsidRPr="00427BFD" w14:paraId="15C59DE3" w14:textId="77777777" w:rsidTr="00DD5B47">
        <w:trPr>
          <w:trHeight w:val="340"/>
        </w:trPr>
        <w:tc>
          <w:tcPr>
            <w:tcW w:w="7088" w:type="dxa"/>
            <w:shd w:val="clear" w:color="auto" w:fill="auto"/>
            <w:vAlign w:val="center"/>
          </w:tcPr>
          <w:p w14:paraId="3AC32608" w14:textId="77777777" w:rsidR="00DB7C7F" w:rsidRPr="00427BFD" w:rsidRDefault="00DB7C7F" w:rsidP="00DD5B47">
            <w:pPr>
              <w:pStyle w:val="Tijeloteksta"/>
              <w:ind w:firstLine="1026"/>
              <w:jc w:val="left"/>
              <w:rPr>
                <w:b/>
                <w:bCs/>
                <w:i/>
                <w:iCs/>
              </w:rPr>
            </w:pPr>
            <w:r w:rsidRPr="00427BFD">
              <w:rPr>
                <w:b/>
                <w:bCs/>
                <w:i/>
                <w:iCs/>
              </w:rPr>
              <w:lastRenderedPageBreak/>
              <w:t>manjak prihoda poslovanja (</w:t>
            </w:r>
            <w:r w:rsidRPr="00427BFD">
              <w:t>Šifra Y001</w:t>
            </w:r>
            <w:r w:rsidRPr="00427BFD">
              <w:rPr>
                <w:b/>
                <w:bCs/>
                <w:i/>
                <w:iCs/>
              </w:rPr>
              <w:t>)</w:t>
            </w:r>
          </w:p>
        </w:tc>
        <w:tc>
          <w:tcPr>
            <w:tcW w:w="2268" w:type="dxa"/>
            <w:shd w:val="clear" w:color="auto" w:fill="auto"/>
            <w:vAlign w:val="center"/>
          </w:tcPr>
          <w:p w14:paraId="6B96DDBD" w14:textId="77777777" w:rsidR="00DB7C7F" w:rsidRPr="00427BFD" w:rsidRDefault="00DB7C7F" w:rsidP="00DD5B47">
            <w:pPr>
              <w:pStyle w:val="Tijeloteksta"/>
              <w:jc w:val="right"/>
              <w:rPr>
                <w:b/>
                <w:bCs/>
                <w:i/>
                <w:iCs/>
              </w:rPr>
            </w:pPr>
            <w:r w:rsidRPr="00427BFD">
              <w:rPr>
                <w:b/>
                <w:bCs/>
                <w:i/>
                <w:iCs/>
              </w:rPr>
              <w:t>5.708.231.496,89</w:t>
            </w:r>
          </w:p>
        </w:tc>
      </w:tr>
      <w:tr w:rsidR="00DB7C7F" w:rsidRPr="00427BFD" w14:paraId="2D8E382D" w14:textId="77777777" w:rsidTr="00DD5B47">
        <w:trPr>
          <w:trHeight w:val="340"/>
        </w:trPr>
        <w:tc>
          <w:tcPr>
            <w:tcW w:w="7088" w:type="dxa"/>
            <w:shd w:val="clear" w:color="auto" w:fill="auto"/>
            <w:vAlign w:val="center"/>
          </w:tcPr>
          <w:p w14:paraId="5946DB9D" w14:textId="77777777" w:rsidR="00DB7C7F" w:rsidRPr="00427BFD" w:rsidRDefault="00DB7C7F" w:rsidP="00DD5B47">
            <w:pPr>
              <w:pStyle w:val="Tijeloteksta"/>
              <w:numPr>
                <w:ilvl w:val="0"/>
                <w:numId w:val="7"/>
              </w:numPr>
              <w:ind w:left="459"/>
              <w:jc w:val="left"/>
            </w:pPr>
            <w:r w:rsidRPr="00427BFD">
              <w:t>ukupni prihodi od prodaje nefinancijske imovine (Šifra 7)</w:t>
            </w:r>
          </w:p>
        </w:tc>
        <w:tc>
          <w:tcPr>
            <w:tcW w:w="2268" w:type="dxa"/>
            <w:shd w:val="clear" w:color="auto" w:fill="auto"/>
            <w:vAlign w:val="center"/>
          </w:tcPr>
          <w:p w14:paraId="0E640130" w14:textId="77777777" w:rsidR="00DB7C7F" w:rsidRPr="00427BFD" w:rsidRDefault="00DB7C7F" w:rsidP="00DD5B47">
            <w:pPr>
              <w:pStyle w:val="Tijeloteksta"/>
              <w:jc w:val="right"/>
            </w:pPr>
            <w:r w:rsidRPr="00427BFD">
              <w:t>690.055.114,75</w:t>
            </w:r>
          </w:p>
        </w:tc>
      </w:tr>
      <w:tr w:rsidR="00DB7C7F" w:rsidRPr="00427BFD" w14:paraId="7C909ACF" w14:textId="77777777" w:rsidTr="00DD5B47">
        <w:trPr>
          <w:trHeight w:val="340"/>
        </w:trPr>
        <w:tc>
          <w:tcPr>
            <w:tcW w:w="7088" w:type="dxa"/>
            <w:shd w:val="clear" w:color="auto" w:fill="auto"/>
            <w:vAlign w:val="center"/>
          </w:tcPr>
          <w:p w14:paraId="440DD07E" w14:textId="77777777" w:rsidR="00DB7C7F" w:rsidRPr="00427BFD" w:rsidRDefault="00DB7C7F" w:rsidP="00DD5B47">
            <w:pPr>
              <w:pStyle w:val="Tijeloteksta"/>
              <w:numPr>
                <w:ilvl w:val="0"/>
                <w:numId w:val="7"/>
              </w:numPr>
              <w:jc w:val="left"/>
            </w:pPr>
            <w:r w:rsidRPr="00427BFD">
              <w:t>ukupni rashodi za nabavu nefinancijske imovine (Šifra 4)</w:t>
            </w:r>
          </w:p>
        </w:tc>
        <w:tc>
          <w:tcPr>
            <w:tcW w:w="2268" w:type="dxa"/>
            <w:shd w:val="clear" w:color="auto" w:fill="auto"/>
            <w:vAlign w:val="center"/>
          </w:tcPr>
          <w:p w14:paraId="610449D0" w14:textId="77777777" w:rsidR="00DB7C7F" w:rsidRPr="00427BFD" w:rsidRDefault="00DB7C7F" w:rsidP="00DD5B47">
            <w:pPr>
              <w:pStyle w:val="Tijeloteksta"/>
              <w:jc w:val="right"/>
            </w:pPr>
            <w:r w:rsidRPr="00427BFD">
              <w:t>22.621.500,00</w:t>
            </w:r>
          </w:p>
        </w:tc>
      </w:tr>
      <w:tr w:rsidR="00DB7C7F" w:rsidRPr="00427BFD" w14:paraId="6A50E3E3" w14:textId="77777777" w:rsidTr="00DD5B47">
        <w:trPr>
          <w:trHeight w:val="340"/>
        </w:trPr>
        <w:tc>
          <w:tcPr>
            <w:tcW w:w="7088" w:type="dxa"/>
            <w:shd w:val="clear" w:color="auto" w:fill="auto"/>
            <w:vAlign w:val="center"/>
          </w:tcPr>
          <w:p w14:paraId="528FE6C4" w14:textId="77777777" w:rsidR="00DB7C7F" w:rsidRPr="00427BFD" w:rsidRDefault="00DB7C7F" w:rsidP="00DD5B47">
            <w:pPr>
              <w:pStyle w:val="Tijeloteksta"/>
              <w:ind w:firstLine="1026"/>
              <w:jc w:val="left"/>
              <w:rPr>
                <w:b/>
                <w:bCs/>
                <w:i/>
                <w:iCs/>
              </w:rPr>
            </w:pPr>
            <w:r w:rsidRPr="00427BFD">
              <w:rPr>
                <w:b/>
                <w:bCs/>
                <w:i/>
                <w:iCs/>
              </w:rPr>
              <w:t>višak prihoda od nefinancijske imovine (Šifra X002)</w:t>
            </w:r>
          </w:p>
        </w:tc>
        <w:tc>
          <w:tcPr>
            <w:tcW w:w="2268" w:type="dxa"/>
            <w:shd w:val="clear" w:color="auto" w:fill="auto"/>
            <w:vAlign w:val="center"/>
          </w:tcPr>
          <w:p w14:paraId="7594D8DF" w14:textId="77777777" w:rsidR="00DB7C7F" w:rsidRPr="00427BFD" w:rsidRDefault="00DB7C7F" w:rsidP="00DD5B47">
            <w:pPr>
              <w:pStyle w:val="Tijeloteksta"/>
              <w:jc w:val="right"/>
              <w:rPr>
                <w:b/>
                <w:bCs/>
                <w:i/>
                <w:iCs/>
              </w:rPr>
            </w:pPr>
            <w:r w:rsidRPr="00427BFD">
              <w:rPr>
                <w:b/>
                <w:bCs/>
                <w:i/>
                <w:iCs/>
              </w:rPr>
              <w:t>667.433.614,75</w:t>
            </w:r>
          </w:p>
        </w:tc>
      </w:tr>
      <w:tr w:rsidR="00DB7C7F" w:rsidRPr="00427BFD" w14:paraId="13487581" w14:textId="77777777" w:rsidTr="00DD5B47">
        <w:trPr>
          <w:trHeight w:val="340"/>
        </w:trPr>
        <w:tc>
          <w:tcPr>
            <w:tcW w:w="7088" w:type="dxa"/>
            <w:shd w:val="clear" w:color="auto" w:fill="auto"/>
            <w:vAlign w:val="center"/>
          </w:tcPr>
          <w:p w14:paraId="3C43657D" w14:textId="77777777" w:rsidR="00DB7C7F" w:rsidRPr="00427BFD" w:rsidRDefault="00DB7C7F" w:rsidP="00DD5B47">
            <w:pPr>
              <w:pStyle w:val="Tijeloteksta"/>
              <w:numPr>
                <w:ilvl w:val="0"/>
                <w:numId w:val="7"/>
              </w:numPr>
              <w:jc w:val="left"/>
            </w:pPr>
            <w:r w:rsidRPr="00427BFD">
              <w:t>ukupni primici od financijske imovine i zaduživanja (Šifra 8)</w:t>
            </w:r>
          </w:p>
        </w:tc>
        <w:tc>
          <w:tcPr>
            <w:tcW w:w="2268" w:type="dxa"/>
            <w:shd w:val="clear" w:color="auto" w:fill="auto"/>
            <w:vAlign w:val="center"/>
          </w:tcPr>
          <w:p w14:paraId="00994714" w14:textId="77777777" w:rsidR="00DB7C7F" w:rsidRPr="00427BFD" w:rsidRDefault="00DB7C7F" w:rsidP="00DD5B47">
            <w:pPr>
              <w:pStyle w:val="Tijeloteksta"/>
              <w:jc w:val="right"/>
            </w:pPr>
            <w:r w:rsidRPr="00427BFD">
              <w:t>41.401.791.330,06</w:t>
            </w:r>
          </w:p>
        </w:tc>
      </w:tr>
      <w:tr w:rsidR="00DB7C7F" w:rsidRPr="00427BFD" w14:paraId="7B5CE630" w14:textId="77777777" w:rsidTr="00DD5B47">
        <w:trPr>
          <w:trHeight w:val="340"/>
        </w:trPr>
        <w:tc>
          <w:tcPr>
            <w:tcW w:w="7088" w:type="dxa"/>
            <w:shd w:val="clear" w:color="auto" w:fill="auto"/>
            <w:vAlign w:val="center"/>
          </w:tcPr>
          <w:p w14:paraId="5DD081EC" w14:textId="77777777" w:rsidR="00DB7C7F" w:rsidRPr="00427BFD" w:rsidRDefault="00DB7C7F" w:rsidP="00DD5B47">
            <w:pPr>
              <w:pStyle w:val="Tijeloteksta"/>
              <w:numPr>
                <w:ilvl w:val="0"/>
                <w:numId w:val="7"/>
              </w:numPr>
              <w:jc w:val="left"/>
            </w:pPr>
            <w:r w:rsidRPr="00427BFD">
              <w:t>ukupni izdaci za financijsku imovinu i otplate zajmova (Šifra 5)</w:t>
            </w:r>
          </w:p>
        </w:tc>
        <w:tc>
          <w:tcPr>
            <w:tcW w:w="2268" w:type="dxa"/>
            <w:shd w:val="clear" w:color="auto" w:fill="auto"/>
            <w:vAlign w:val="center"/>
          </w:tcPr>
          <w:p w14:paraId="23151896" w14:textId="77777777" w:rsidR="00DB7C7F" w:rsidRPr="00427BFD" w:rsidRDefault="00DB7C7F" w:rsidP="00DD5B47">
            <w:pPr>
              <w:pStyle w:val="Tijeloteksta"/>
              <w:jc w:val="right"/>
            </w:pPr>
            <w:r w:rsidRPr="00427BFD">
              <w:t>46.689.842.377,92</w:t>
            </w:r>
          </w:p>
        </w:tc>
      </w:tr>
      <w:tr w:rsidR="00DB7C7F" w:rsidRPr="00427BFD" w14:paraId="07F749ED" w14:textId="77777777" w:rsidTr="00DD5B47">
        <w:trPr>
          <w:trHeight w:val="340"/>
        </w:trPr>
        <w:tc>
          <w:tcPr>
            <w:tcW w:w="7088" w:type="dxa"/>
            <w:shd w:val="clear" w:color="auto" w:fill="auto"/>
            <w:vAlign w:val="center"/>
          </w:tcPr>
          <w:p w14:paraId="35F7CC61" w14:textId="77777777" w:rsidR="00DB7C7F" w:rsidRPr="00427BFD" w:rsidRDefault="00DB7C7F" w:rsidP="00DD5B47">
            <w:pPr>
              <w:pStyle w:val="Tijeloteksta"/>
              <w:ind w:firstLine="1026"/>
              <w:jc w:val="left"/>
              <w:rPr>
                <w:b/>
                <w:bCs/>
                <w:i/>
                <w:iCs/>
              </w:rPr>
            </w:pPr>
            <w:r w:rsidRPr="00427BFD">
              <w:rPr>
                <w:b/>
                <w:bCs/>
                <w:i/>
                <w:iCs/>
              </w:rPr>
              <w:t xml:space="preserve">manjak od financijske imovine (Šifra Y003) </w:t>
            </w:r>
          </w:p>
        </w:tc>
        <w:tc>
          <w:tcPr>
            <w:tcW w:w="2268" w:type="dxa"/>
            <w:shd w:val="clear" w:color="auto" w:fill="auto"/>
            <w:vAlign w:val="center"/>
          </w:tcPr>
          <w:p w14:paraId="7E687256" w14:textId="77777777" w:rsidR="00DB7C7F" w:rsidRPr="00427BFD" w:rsidRDefault="00DB7C7F" w:rsidP="00DD5B47">
            <w:pPr>
              <w:pStyle w:val="Tijeloteksta"/>
              <w:jc w:val="right"/>
              <w:rPr>
                <w:b/>
                <w:bCs/>
                <w:i/>
                <w:iCs/>
              </w:rPr>
            </w:pPr>
            <w:r w:rsidRPr="00427BFD">
              <w:rPr>
                <w:b/>
                <w:bCs/>
                <w:i/>
                <w:iCs/>
              </w:rPr>
              <w:t>5.288.051.047,86</w:t>
            </w:r>
          </w:p>
        </w:tc>
      </w:tr>
      <w:tr w:rsidR="00DB7C7F" w:rsidRPr="00F4732E" w14:paraId="4476154C" w14:textId="77777777" w:rsidTr="00DD5B47">
        <w:trPr>
          <w:trHeight w:val="340"/>
        </w:trPr>
        <w:tc>
          <w:tcPr>
            <w:tcW w:w="7088" w:type="dxa"/>
            <w:shd w:val="clear" w:color="auto" w:fill="auto"/>
            <w:vAlign w:val="center"/>
          </w:tcPr>
          <w:p w14:paraId="34DBC62A" w14:textId="77777777" w:rsidR="00DB7C7F" w:rsidRPr="00427BFD" w:rsidRDefault="00DB7C7F" w:rsidP="00DD5B47">
            <w:pPr>
              <w:pStyle w:val="Tijeloteksta"/>
              <w:ind w:firstLine="1026"/>
              <w:jc w:val="left"/>
              <w:rPr>
                <w:b/>
                <w:bCs/>
                <w:i/>
                <w:iCs/>
              </w:rPr>
            </w:pPr>
            <w:r w:rsidRPr="00427BFD">
              <w:rPr>
                <w:b/>
                <w:bCs/>
                <w:i/>
                <w:iCs/>
              </w:rPr>
              <w:t>manjak prihoda i primitaka (Šifra Y005)</w:t>
            </w:r>
          </w:p>
        </w:tc>
        <w:tc>
          <w:tcPr>
            <w:tcW w:w="2268" w:type="dxa"/>
            <w:shd w:val="clear" w:color="auto" w:fill="auto"/>
            <w:vAlign w:val="center"/>
          </w:tcPr>
          <w:p w14:paraId="6E4E1485" w14:textId="77777777" w:rsidR="00DB7C7F" w:rsidRPr="00F4732E" w:rsidRDefault="00DB7C7F" w:rsidP="00DD5B47">
            <w:pPr>
              <w:pStyle w:val="Tijeloteksta"/>
              <w:jc w:val="right"/>
              <w:rPr>
                <w:b/>
                <w:bCs/>
                <w:i/>
                <w:iCs/>
              </w:rPr>
            </w:pPr>
            <w:r w:rsidRPr="00427BFD">
              <w:rPr>
                <w:b/>
                <w:bCs/>
                <w:i/>
                <w:iCs/>
              </w:rPr>
              <w:t>10.328.848.930,00</w:t>
            </w:r>
          </w:p>
        </w:tc>
      </w:tr>
      <w:bookmarkEnd w:id="1"/>
    </w:tbl>
    <w:p w14:paraId="011BDC81" w14:textId="77777777" w:rsidR="00DB7C7F" w:rsidRPr="00F4732E" w:rsidRDefault="00DB7C7F" w:rsidP="00DB7C7F">
      <w:pPr>
        <w:shd w:val="clear" w:color="auto" w:fill="FFFFFF"/>
        <w:rPr>
          <w:color w:val="000000"/>
        </w:rPr>
      </w:pPr>
    </w:p>
    <w:p w14:paraId="088B5214" w14:textId="67BA0848" w:rsidR="00DB7C7F" w:rsidRPr="00427BFD" w:rsidRDefault="00DB7C7F" w:rsidP="00D60CDB">
      <w:pPr>
        <w:pStyle w:val="Naslov"/>
        <w:keepNext/>
        <w:jc w:val="both"/>
        <w:rPr>
          <w:color w:val="000000"/>
        </w:rPr>
      </w:pPr>
      <w:r w:rsidRPr="00427BFD">
        <w:rPr>
          <w:b w:val="0"/>
          <w:bCs w:val="0"/>
          <w:sz w:val="24"/>
        </w:rPr>
        <w:t xml:space="preserve">U 2022. </w:t>
      </w:r>
      <w:r w:rsidR="00672CE4">
        <w:rPr>
          <w:b w:val="0"/>
          <w:bCs w:val="0"/>
          <w:sz w:val="24"/>
        </w:rPr>
        <w:t xml:space="preserve">godini </w:t>
      </w:r>
      <w:r w:rsidRPr="00427BFD">
        <w:rPr>
          <w:b w:val="0"/>
          <w:bCs w:val="0"/>
          <w:sz w:val="24"/>
        </w:rPr>
        <w:t>su prihodi poslovanja ostvareni u iznosu od 104,9 milijardi kuna, odnosno 13,1% više nego prethodne godine, dok su rashodi poslovanja ostvareni u iznosu od 11</w:t>
      </w:r>
      <w:r w:rsidR="00672CE4">
        <w:rPr>
          <w:b w:val="0"/>
          <w:bCs w:val="0"/>
          <w:sz w:val="24"/>
        </w:rPr>
        <w:t>0,6 milijardi kuna, odnosno 1,3</w:t>
      </w:r>
      <w:r w:rsidRPr="00427BFD">
        <w:rPr>
          <w:b w:val="0"/>
          <w:bCs w:val="0"/>
          <w:sz w:val="24"/>
        </w:rPr>
        <w:t xml:space="preserve">% više nego prethodne godine. </w:t>
      </w:r>
      <w:r w:rsidR="00D60CDB" w:rsidRPr="00427BFD">
        <w:rPr>
          <w:b w:val="0"/>
          <w:bCs w:val="0"/>
          <w:sz w:val="24"/>
        </w:rPr>
        <w:t>O</w:t>
      </w:r>
      <w:r w:rsidRPr="00427BFD">
        <w:rPr>
          <w:b w:val="0"/>
          <w:bCs w:val="0"/>
          <w:sz w:val="24"/>
        </w:rPr>
        <w:t>stvarenje p</w:t>
      </w:r>
      <w:r w:rsidR="00D60CDB" w:rsidRPr="00427BFD">
        <w:rPr>
          <w:b w:val="0"/>
          <w:bCs w:val="0"/>
          <w:sz w:val="24"/>
        </w:rPr>
        <w:t>rihoda državnog proračuna u 2022</w:t>
      </w:r>
      <w:r w:rsidRPr="00427BFD">
        <w:rPr>
          <w:b w:val="0"/>
          <w:bCs w:val="0"/>
          <w:sz w:val="24"/>
        </w:rPr>
        <w:t xml:space="preserve">. godini </w:t>
      </w:r>
      <w:r w:rsidR="00D60CDB" w:rsidRPr="00427BFD">
        <w:rPr>
          <w:b w:val="0"/>
          <w:bCs w:val="0"/>
          <w:sz w:val="24"/>
        </w:rPr>
        <w:t>određeno je pozitivnim kretanjima u gospodarstvu, ali i učincima poreznih izmjena u sustavu poreza na dodanu vrijednost i trošarinskih propisa</w:t>
      </w:r>
      <w:r w:rsidR="00672CE4">
        <w:rPr>
          <w:b w:val="0"/>
          <w:bCs w:val="0"/>
          <w:sz w:val="24"/>
        </w:rPr>
        <w:t xml:space="preserve"> koji su stupili na snagu u izvještajnoj</w:t>
      </w:r>
      <w:r w:rsidR="00D60CDB" w:rsidRPr="00427BFD">
        <w:rPr>
          <w:b w:val="0"/>
          <w:bCs w:val="0"/>
          <w:sz w:val="24"/>
        </w:rPr>
        <w:t xml:space="preserve"> godini s ciljem ublažavanja inflatornih pritisaka. </w:t>
      </w:r>
    </w:p>
    <w:p w14:paraId="63D88C1A" w14:textId="77777777" w:rsidR="00DB7C7F" w:rsidRPr="00427BFD" w:rsidRDefault="00DB7C7F" w:rsidP="00DB7C7F">
      <w:pPr>
        <w:shd w:val="clear" w:color="auto" w:fill="FFFFFF"/>
        <w:rPr>
          <w:color w:val="000000"/>
        </w:rPr>
      </w:pPr>
    </w:p>
    <w:p w14:paraId="05839C30" w14:textId="42F8B881" w:rsidR="00DB7C7F" w:rsidRPr="00BF3236" w:rsidRDefault="00DB7C7F" w:rsidP="00DB7C7F">
      <w:pPr>
        <w:pStyle w:val="Naslov"/>
        <w:jc w:val="both"/>
        <w:rPr>
          <w:b w:val="0"/>
          <w:bCs w:val="0"/>
          <w:sz w:val="24"/>
        </w:rPr>
      </w:pPr>
      <w:r w:rsidRPr="00427BFD">
        <w:rPr>
          <w:b w:val="0"/>
          <w:bCs w:val="0"/>
          <w:sz w:val="24"/>
        </w:rPr>
        <w:t>Rashodi poslovanja ostvareni su u iznosu od 110,6</w:t>
      </w:r>
      <w:r w:rsidR="00672CE4">
        <w:rPr>
          <w:b w:val="0"/>
          <w:bCs w:val="0"/>
          <w:sz w:val="24"/>
        </w:rPr>
        <w:t xml:space="preserve"> milijardi kuna, odnosno za 1,3</w:t>
      </w:r>
      <w:r w:rsidRPr="00427BFD">
        <w:rPr>
          <w:b w:val="0"/>
          <w:bCs w:val="0"/>
          <w:sz w:val="24"/>
        </w:rPr>
        <w:t xml:space="preserve">% </w:t>
      </w:r>
      <w:r w:rsidR="00D60CDB" w:rsidRPr="00427BFD">
        <w:rPr>
          <w:b w:val="0"/>
          <w:bCs w:val="0"/>
          <w:sz w:val="24"/>
        </w:rPr>
        <w:t>više u odnosu na ostvarenje 2021</w:t>
      </w:r>
      <w:r w:rsidRPr="00427BFD">
        <w:rPr>
          <w:b w:val="0"/>
          <w:bCs w:val="0"/>
          <w:sz w:val="24"/>
        </w:rPr>
        <w:t xml:space="preserve">. godine. Rast ukupnih rashoda poslovanja proizašao je najvećim dijelom iz rasta rashoda za </w:t>
      </w:r>
      <w:r w:rsidR="00D60CDB" w:rsidRPr="00427BFD">
        <w:rPr>
          <w:b w:val="0"/>
          <w:bCs w:val="0"/>
          <w:sz w:val="24"/>
        </w:rPr>
        <w:t xml:space="preserve">subvencije koje se isplaćuju iz financijskog instrumenta (sredstava Nacionalnog plana oporavka i otpornosti) putem posrednika HBOR-a, a za subvencioniranje kamata po kreditima trgovačkim društvima u </w:t>
      </w:r>
      <w:r w:rsidR="00D60CDB" w:rsidRPr="00BF3236">
        <w:rPr>
          <w:b w:val="0"/>
          <w:bCs w:val="0"/>
          <w:sz w:val="24"/>
        </w:rPr>
        <w:t>javnom sektoru i izvan javnog sektora.</w:t>
      </w:r>
      <w:r w:rsidR="00AC6225">
        <w:rPr>
          <w:b w:val="0"/>
          <w:bCs w:val="0"/>
          <w:sz w:val="24"/>
        </w:rPr>
        <w:t xml:space="preserve"> </w:t>
      </w:r>
      <w:r w:rsidRPr="008C178B">
        <w:rPr>
          <w:b w:val="0"/>
          <w:bCs w:val="0"/>
          <w:sz w:val="24"/>
        </w:rPr>
        <w:t>Manjak prihoda poslovanja utvrđen za 2022.</w:t>
      </w:r>
      <w:r w:rsidR="00672CE4" w:rsidRPr="008C178B">
        <w:rPr>
          <w:b w:val="0"/>
          <w:bCs w:val="0"/>
          <w:sz w:val="24"/>
        </w:rPr>
        <w:t xml:space="preserve"> godini</w:t>
      </w:r>
      <w:r w:rsidRPr="008C178B">
        <w:rPr>
          <w:b w:val="0"/>
          <w:bCs w:val="0"/>
          <w:sz w:val="24"/>
        </w:rPr>
        <w:t xml:space="preserve"> iznosi 5,7 milijardi kuna, dok je manjak prihoda poslovanja u 20</w:t>
      </w:r>
      <w:r w:rsidR="00D60CDB" w:rsidRPr="008C178B">
        <w:rPr>
          <w:b w:val="0"/>
          <w:bCs w:val="0"/>
          <w:sz w:val="24"/>
        </w:rPr>
        <w:t xml:space="preserve">21. </w:t>
      </w:r>
      <w:r w:rsidR="00672CE4" w:rsidRPr="008C178B">
        <w:rPr>
          <w:b w:val="0"/>
          <w:bCs w:val="0"/>
          <w:sz w:val="24"/>
        </w:rPr>
        <w:t xml:space="preserve">godini </w:t>
      </w:r>
      <w:r w:rsidR="00D60CDB" w:rsidRPr="008C178B">
        <w:rPr>
          <w:b w:val="0"/>
          <w:bCs w:val="0"/>
          <w:sz w:val="24"/>
        </w:rPr>
        <w:t>iznosio 16,4 milijardi kuna</w:t>
      </w:r>
      <w:r w:rsidRPr="008C178B">
        <w:rPr>
          <w:b w:val="0"/>
          <w:bCs w:val="0"/>
          <w:sz w:val="24"/>
        </w:rPr>
        <w:t xml:space="preserve"> na što je utjecao prethodno navedeni rast prihoda poslovanja zbog</w:t>
      </w:r>
      <w:r w:rsidRPr="008C178B">
        <w:t xml:space="preserve"> </w:t>
      </w:r>
      <w:r w:rsidRPr="008C178B">
        <w:rPr>
          <w:b w:val="0"/>
          <w:bCs w:val="0"/>
          <w:sz w:val="24"/>
        </w:rPr>
        <w:t xml:space="preserve">pozitivnih kretnja u gospodarstvu, </w:t>
      </w:r>
      <w:r w:rsidR="00BF3236" w:rsidRPr="008C178B">
        <w:rPr>
          <w:b w:val="0"/>
          <w:bCs w:val="0"/>
          <w:sz w:val="24"/>
        </w:rPr>
        <w:t>ali i učinci poreznih izmjena u sustavu poreza na dodanu vrijednost i trošarinskih propisa koji su stupili na snagu u izvještajnoj godini s ciljem ublažavanja inflatornih pritisaka. U 2022</w:t>
      </w:r>
      <w:r w:rsidRPr="008C178B">
        <w:rPr>
          <w:b w:val="0"/>
          <w:bCs w:val="0"/>
          <w:sz w:val="24"/>
        </w:rPr>
        <w:t>. godinu prenesen je manjak pri</w:t>
      </w:r>
      <w:r w:rsidR="00BF3236" w:rsidRPr="008C178B">
        <w:rPr>
          <w:b w:val="0"/>
          <w:bCs w:val="0"/>
          <w:sz w:val="24"/>
        </w:rPr>
        <w:t>hoda pos</w:t>
      </w:r>
      <w:r w:rsidR="00BF3236" w:rsidRPr="00AC6225">
        <w:rPr>
          <w:b w:val="0"/>
          <w:bCs w:val="0"/>
          <w:sz w:val="24"/>
        </w:rPr>
        <w:t>lovanja u iznosu od 101,6</w:t>
      </w:r>
      <w:r w:rsidRPr="00AC6225">
        <w:rPr>
          <w:b w:val="0"/>
          <w:bCs w:val="0"/>
          <w:sz w:val="24"/>
        </w:rPr>
        <w:t xml:space="preserve"> milijardi kuna, pa ukupni manjak prihoda poslovanja za prijeno</w:t>
      </w:r>
      <w:r w:rsidR="00BF3236" w:rsidRPr="00AC6225">
        <w:rPr>
          <w:b w:val="0"/>
          <w:bCs w:val="0"/>
          <w:sz w:val="24"/>
        </w:rPr>
        <w:t>s u 2023. godinu iznosi 107,3</w:t>
      </w:r>
      <w:r w:rsidRPr="00AC6225">
        <w:rPr>
          <w:b w:val="0"/>
          <w:bCs w:val="0"/>
          <w:sz w:val="24"/>
        </w:rPr>
        <w:t xml:space="preserve"> milijardi kuna.</w:t>
      </w:r>
    </w:p>
    <w:p w14:paraId="250B8FA4" w14:textId="77777777" w:rsidR="00DB7C7F" w:rsidRPr="00BF3236" w:rsidRDefault="00DB7C7F" w:rsidP="00DB7C7F">
      <w:pPr>
        <w:shd w:val="clear" w:color="auto" w:fill="FFFFFF"/>
        <w:rPr>
          <w:color w:val="000000"/>
        </w:rPr>
      </w:pPr>
    </w:p>
    <w:p w14:paraId="496A8CB9" w14:textId="1447AC46" w:rsidR="00DB7C7F" w:rsidRPr="00AC6225" w:rsidRDefault="00DB7C7F" w:rsidP="00DB7C7F">
      <w:pPr>
        <w:pStyle w:val="Naslov"/>
        <w:jc w:val="both"/>
        <w:rPr>
          <w:b w:val="0"/>
          <w:bCs w:val="0"/>
          <w:sz w:val="24"/>
        </w:rPr>
      </w:pPr>
      <w:r w:rsidRPr="008C178B">
        <w:rPr>
          <w:b w:val="0"/>
          <w:bCs w:val="0"/>
          <w:sz w:val="24"/>
        </w:rPr>
        <w:t xml:space="preserve">Prihodi od prodaje nefinancijske imovine ostvareni su u 2022. </w:t>
      </w:r>
      <w:r w:rsidR="00672CE4" w:rsidRPr="008C178B">
        <w:rPr>
          <w:b w:val="0"/>
          <w:bCs w:val="0"/>
          <w:sz w:val="24"/>
        </w:rPr>
        <w:t xml:space="preserve">godini </w:t>
      </w:r>
      <w:r w:rsidRPr="008C178B">
        <w:rPr>
          <w:b w:val="0"/>
          <w:bCs w:val="0"/>
          <w:sz w:val="24"/>
        </w:rPr>
        <w:t>u iznosu 690,1 milijun kuna što predstavlja povećanje ostvarenja ovih prihoda od 119% u odnosu na ostvarenje u 2021. godini</w:t>
      </w:r>
      <w:r w:rsidR="00AC6225" w:rsidRPr="008C178B">
        <w:rPr>
          <w:b w:val="0"/>
          <w:bCs w:val="0"/>
          <w:sz w:val="24"/>
        </w:rPr>
        <w:t xml:space="preserve">, s obzirom na to da je u 2022. godini u okviru prihoda od prodaje nefinancijske imovine evidentirana prodaja broda Nov. 514 temeljem sklopljenog ugovora o kupoprodaji između Ministarstva gospodarstva i održivog razvoja i kupca predmetnog broda. </w:t>
      </w:r>
      <w:r w:rsidRPr="008C178B">
        <w:rPr>
          <w:b w:val="0"/>
          <w:bCs w:val="0"/>
          <w:sz w:val="24"/>
        </w:rPr>
        <w:t>Rashodi za nabavu</w:t>
      </w:r>
      <w:r w:rsidRPr="00AC6225">
        <w:rPr>
          <w:b w:val="0"/>
          <w:bCs w:val="0"/>
          <w:sz w:val="24"/>
        </w:rPr>
        <w:t xml:space="preserve"> nefinancijske imovine su u 2022. </w:t>
      </w:r>
      <w:r w:rsidR="00672CE4" w:rsidRPr="00AC6225">
        <w:rPr>
          <w:b w:val="0"/>
          <w:bCs w:val="0"/>
          <w:sz w:val="24"/>
        </w:rPr>
        <w:t xml:space="preserve">godini </w:t>
      </w:r>
      <w:r w:rsidRPr="00AC6225">
        <w:rPr>
          <w:b w:val="0"/>
          <w:bCs w:val="0"/>
          <w:sz w:val="24"/>
        </w:rPr>
        <w:t xml:space="preserve">ostvareni u iznosu od </w:t>
      </w:r>
      <w:r w:rsidR="00BF3236" w:rsidRPr="00AC6225">
        <w:rPr>
          <w:b w:val="0"/>
          <w:bCs w:val="0"/>
          <w:sz w:val="24"/>
        </w:rPr>
        <w:t>22,6 milijuna kuna, odnosno 73,8</w:t>
      </w:r>
      <w:r w:rsidRPr="00AC6225">
        <w:rPr>
          <w:b w:val="0"/>
          <w:bCs w:val="0"/>
          <w:sz w:val="24"/>
        </w:rPr>
        <w:t>% manje nego u prethodnoj godini</w:t>
      </w:r>
      <w:r w:rsidR="00BF3236" w:rsidRPr="00AC6225">
        <w:rPr>
          <w:b w:val="0"/>
          <w:bCs w:val="0"/>
          <w:sz w:val="24"/>
        </w:rPr>
        <w:t xml:space="preserve">. </w:t>
      </w:r>
      <w:r w:rsidRPr="00AC6225">
        <w:rPr>
          <w:b w:val="0"/>
          <w:bCs w:val="0"/>
          <w:sz w:val="24"/>
        </w:rPr>
        <w:t>Na kraju 2022. godine utvrđen je višak prihoda od prodaje nefinancijske imovine u iznosu od 667,4 milijuna kuna, što je 191,7% više ostvaren višak u odnosu na ostvarenje 2021.</w:t>
      </w:r>
      <w:r w:rsidR="00AC6225" w:rsidRPr="00AC6225">
        <w:rPr>
          <w:b w:val="0"/>
          <w:bCs w:val="0"/>
          <w:sz w:val="24"/>
        </w:rPr>
        <w:t xml:space="preserve"> godini.</w:t>
      </w:r>
      <w:r w:rsidR="00BF3236" w:rsidRPr="00AC6225">
        <w:rPr>
          <w:b w:val="0"/>
          <w:bCs w:val="0"/>
          <w:sz w:val="24"/>
        </w:rPr>
        <w:t xml:space="preserve"> </w:t>
      </w:r>
      <w:r w:rsidRPr="00AC6225">
        <w:rPr>
          <w:b w:val="0"/>
          <w:bCs w:val="0"/>
          <w:sz w:val="24"/>
        </w:rPr>
        <w:t xml:space="preserve">Manjak prihoda od prodaje nefinancijske imovine prenesen u 2022. </w:t>
      </w:r>
      <w:r w:rsidR="00AC6225" w:rsidRPr="00AC6225">
        <w:rPr>
          <w:b w:val="0"/>
          <w:bCs w:val="0"/>
          <w:sz w:val="24"/>
        </w:rPr>
        <w:t xml:space="preserve">godini </w:t>
      </w:r>
      <w:r w:rsidRPr="00AC6225">
        <w:rPr>
          <w:b w:val="0"/>
          <w:bCs w:val="0"/>
          <w:sz w:val="24"/>
        </w:rPr>
        <w:t xml:space="preserve">iznosi 53,4 milijardi kuna, pa ukupni manjak prihoda od prodaje nefinancijske imovine za prijenos u 2023. </w:t>
      </w:r>
      <w:r w:rsidR="00AC6225" w:rsidRPr="00AC6225">
        <w:rPr>
          <w:b w:val="0"/>
          <w:bCs w:val="0"/>
          <w:sz w:val="24"/>
        </w:rPr>
        <w:t xml:space="preserve">godinu </w:t>
      </w:r>
      <w:r w:rsidRPr="00AC6225">
        <w:rPr>
          <w:b w:val="0"/>
          <w:bCs w:val="0"/>
          <w:sz w:val="24"/>
        </w:rPr>
        <w:t>iznosi 52,8 milijardi kuna.</w:t>
      </w:r>
    </w:p>
    <w:p w14:paraId="17A57677" w14:textId="77777777" w:rsidR="00DB7C7F" w:rsidRPr="00427BFD" w:rsidRDefault="00DB7C7F" w:rsidP="00DB7C7F"/>
    <w:p w14:paraId="6890CAE8" w14:textId="3CC05168" w:rsidR="00DB7C7F" w:rsidRPr="00427BFD" w:rsidRDefault="00DB7C7F" w:rsidP="00DB7C7F">
      <w:pPr>
        <w:pStyle w:val="Naslov"/>
        <w:jc w:val="both"/>
        <w:rPr>
          <w:b w:val="0"/>
          <w:bCs w:val="0"/>
          <w:sz w:val="24"/>
        </w:rPr>
      </w:pPr>
      <w:r w:rsidRPr="00E549B3">
        <w:rPr>
          <w:b w:val="0"/>
          <w:bCs w:val="0"/>
          <w:sz w:val="24"/>
        </w:rPr>
        <w:t xml:space="preserve">U 2022. </w:t>
      </w:r>
      <w:r w:rsidR="00AC6225" w:rsidRPr="00E549B3">
        <w:rPr>
          <w:b w:val="0"/>
          <w:bCs w:val="0"/>
          <w:sz w:val="24"/>
        </w:rPr>
        <w:t xml:space="preserve">godini </w:t>
      </w:r>
      <w:r w:rsidRPr="00E549B3">
        <w:rPr>
          <w:b w:val="0"/>
          <w:bCs w:val="0"/>
          <w:sz w:val="24"/>
        </w:rPr>
        <w:t xml:space="preserve">su primici od financijske imovine i zaduživanja iznosili 41,4 milijarde kuna, odnosno povećali su se za 9,4% u odnosu na 37,9 milijardi kuna primitaka ostvarenih u 2021. godini. Izdaci za financijsku imovinu i otplate zajmova ostvareni su u 2022. </w:t>
      </w:r>
      <w:r w:rsidR="005512E5" w:rsidRPr="00E549B3">
        <w:rPr>
          <w:b w:val="0"/>
          <w:bCs w:val="0"/>
          <w:sz w:val="24"/>
        </w:rPr>
        <w:t xml:space="preserve">godini </w:t>
      </w:r>
      <w:r w:rsidRPr="00E549B3">
        <w:rPr>
          <w:b w:val="0"/>
          <w:bCs w:val="0"/>
          <w:sz w:val="24"/>
        </w:rPr>
        <w:t xml:space="preserve">u iznosu od 46,7 milijardi kuna, odnosno 109,7% više nego u 2021. </w:t>
      </w:r>
      <w:r w:rsidR="005512E5" w:rsidRPr="00E549B3">
        <w:rPr>
          <w:b w:val="0"/>
          <w:bCs w:val="0"/>
          <w:sz w:val="24"/>
        </w:rPr>
        <w:t xml:space="preserve">godini </w:t>
      </w:r>
      <w:r w:rsidRPr="00E549B3">
        <w:rPr>
          <w:b w:val="0"/>
          <w:bCs w:val="0"/>
          <w:sz w:val="24"/>
        </w:rPr>
        <w:t xml:space="preserve">kada su ostvareni u iznosu od 22,3 milijardi kuna. U 2022. </w:t>
      </w:r>
      <w:r w:rsidR="005512E5" w:rsidRPr="00E549B3">
        <w:rPr>
          <w:b w:val="0"/>
          <w:bCs w:val="0"/>
          <w:sz w:val="24"/>
        </w:rPr>
        <w:t xml:space="preserve">godini </w:t>
      </w:r>
      <w:r w:rsidRPr="00E549B3">
        <w:rPr>
          <w:b w:val="0"/>
          <w:bCs w:val="0"/>
          <w:sz w:val="24"/>
        </w:rPr>
        <w:t>ostvaren je manjak primitaka od financijske imovine nad izdacima u iznosu od 5,3 milijarde kuna, dok je u prethodnoj godini ostvaren višak u iznosu od 15,6 milijardi kuna.</w:t>
      </w:r>
      <w:r w:rsidR="00E549B3" w:rsidRPr="00E549B3">
        <w:rPr>
          <w:b w:val="0"/>
          <w:bCs w:val="0"/>
          <w:sz w:val="24"/>
        </w:rPr>
        <w:t xml:space="preserve"> Manjak primitaka od financijske imovine u 2022. godini najvećim dijelom proizlazi iz načina evidentiranja kratkoročnih depozita koji prelaze u sljedeću godinu. Naime, sukladno članku 32. </w:t>
      </w:r>
      <w:r w:rsidR="00E549B3" w:rsidRPr="00E549B3">
        <w:rPr>
          <w:b w:val="0"/>
          <w:bCs w:val="0"/>
          <w:sz w:val="24"/>
        </w:rPr>
        <w:lastRenderedPageBreak/>
        <w:t>stavku 4. Pravilnika o proračunskom računovodstvu i Računskom planu kratkoročni depoziti evidentiraju se zaduženjem odgovarajućeg računa skupine 12 i odobrenjem računa novčanih sredstava, a dugoročni depoziti i kratkoročni depoziti koji se vraćaju u sljedećoj godini evidentiraju se i preko odgovarajućih računa razreda 5 Izdaci za financijsku imovinu i otplate zajmova i 8 Primici od financijske imovine i zaduživanja.</w:t>
      </w:r>
      <w:r w:rsidR="00E549B3">
        <w:rPr>
          <w:b w:val="0"/>
          <w:bCs w:val="0"/>
          <w:sz w:val="24"/>
        </w:rPr>
        <w:t xml:space="preserve"> Ministarstvo financija krajem prosinca 2022. godine oročilo je </w:t>
      </w:r>
      <w:r w:rsidR="00E549B3" w:rsidRPr="00E549B3">
        <w:rPr>
          <w:b w:val="0"/>
          <w:bCs w:val="0"/>
          <w:sz w:val="24"/>
        </w:rPr>
        <w:t>iznos od 10.</w:t>
      </w:r>
      <w:r w:rsidR="00FD4811">
        <w:rPr>
          <w:b w:val="0"/>
          <w:bCs w:val="0"/>
          <w:sz w:val="24"/>
        </w:rPr>
        <w:t>553.468.000,00</w:t>
      </w:r>
      <w:r w:rsidR="00E549B3" w:rsidRPr="00E549B3">
        <w:rPr>
          <w:b w:val="0"/>
          <w:bCs w:val="0"/>
          <w:sz w:val="24"/>
        </w:rPr>
        <w:t xml:space="preserve"> kuna</w:t>
      </w:r>
      <w:r w:rsidR="00E549B3">
        <w:rPr>
          <w:b w:val="0"/>
          <w:bCs w:val="0"/>
          <w:sz w:val="24"/>
        </w:rPr>
        <w:t xml:space="preserve"> do 5. siječnja 2023. godine. </w:t>
      </w:r>
      <w:r w:rsidRPr="00427BFD">
        <w:rPr>
          <w:b w:val="0"/>
          <w:bCs w:val="0"/>
          <w:sz w:val="24"/>
        </w:rPr>
        <w:t>U 2022. je prenesen višak primitaka od financijske imovine iz prethodnih godina u iznosu od 168,4 milijarde kuna, pa ukupni višak primitaka za prijenos u 2023.</w:t>
      </w:r>
      <w:r w:rsidR="00E549B3">
        <w:rPr>
          <w:b w:val="0"/>
          <w:bCs w:val="0"/>
          <w:sz w:val="24"/>
        </w:rPr>
        <w:t xml:space="preserve"> godinu</w:t>
      </w:r>
      <w:r w:rsidRPr="00427BFD">
        <w:rPr>
          <w:b w:val="0"/>
          <w:bCs w:val="0"/>
          <w:sz w:val="24"/>
        </w:rPr>
        <w:t xml:space="preserve"> iznosi </w:t>
      </w:r>
      <w:r w:rsidR="00E549B3">
        <w:rPr>
          <w:b w:val="0"/>
          <w:bCs w:val="0"/>
          <w:sz w:val="24"/>
        </w:rPr>
        <w:t>163,1</w:t>
      </w:r>
      <w:r w:rsidRPr="00427BFD">
        <w:rPr>
          <w:b w:val="0"/>
          <w:bCs w:val="0"/>
          <w:sz w:val="24"/>
        </w:rPr>
        <w:t xml:space="preserve"> milijarde kuna.</w:t>
      </w:r>
    </w:p>
    <w:p w14:paraId="15C51507" w14:textId="77777777" w:rsidR="00DB7C7F" w:rsidRPr="00427BFD" w:rsidRDefault="00DB7C7F" w:rsidP="00DB7C7F"/>
    <w:p w14:paraId="44C472DA" w14:textId="31DA24AF" w:rsidR="00DB7C7F" w:rsidRPr="00517166" w:rsidRDefault="00DB7C7F" w:rsidP="00DB7C7F">
      <w:pPr>
        <w:pStyle w:val="Naslov"/>
        <w:keepNext/>
        <w:jc w:val="both"/>
        <w:rPr>
          <w:b w:val="0"/>
          <w:bCs w:val="0"/>
          <w:color w:val="FF0000"/>
          <w:sz w:val="24"/>
        </w:rPr>
      </w:pPr>
      <w:r w:rsidRPr="00E549B3">
        <w:rPr>
          <w:b w:val="0"/>
          <w:bCs w:val="0"/>
          <w:sz w:val="24"/>
        </w:rPr>
        <w:t xml:space="preserve">Ukupni rezultat Državnog proračuna za 2022. </w:t>
      </w:r>
      <w:r w:rsidR="00E549B3" w:rsidRPr="00E549B3">
        <w:rPr>
          <w:b w:val="0"/>
          <w:bCs w:val="0"/>
          <w:sz w:val="24"/>
        </w:rPr>
        <w:t xml:space="preserve">godinu </w:t>
      </w:r>
      <w:r w:rsidRPr="00E549B3">
        <w:rPr>
          <w:b w:val="0"/>
          <w:bCs w:val="0"/>
          <w:sz w:val="24"/>
        </w:rPr>
        <w:t>je manjak prihoda i primitaka u iznosu od 10,3 milijarde kuna, a s obzirom na to da je u 2022. prenesen višak prih</w:t>
      </w:r>
      <w:r w:rsidR="00E549B3" w:rsidRPr="00E549B3">
        <w:rPr>
          <w:b w:val="0"/>
          <w:bCs w:val="0"/>
          <w:sz w:val="24"/>
        </w:rPr>
        <w:t>oda i primitaka u iznosu od 13,3 milijarde kuna. U</w:t>
      </w:r>
      <w:r w:rsidRPr="00E549B3">
        <w:rPr>
          <w:b w:val="0"/>
          <w:bCs w:val="0"/>
          <w:sz w:val="24"/>
        </w:rPr>
        <w:t>kupni višak prihoda i primitaka raspoloživ u sljedećem razdoblju iznosi 3 milijarde kuna.</w:t>
      </w:r>
    </w:p>
    <w:p w14:paraId="3F76EFB6" w14:textId="77777777" w:rsidR="00DB7C7F" w:rsidRDefault="00DB7C7F" w:rsidP="00DB7C7F">
      <w:pPr>
        <w:shd w:val="clear" w:color="auto" w:fill="FFFFFF"/>
        <w:rPr>
          <w:color w:val="000000"/>
        </w:rPr>
      </w:pPr>
    </w:p>
    <w:p w14:paraId="3B0F8E7B" w14:textId="77777777" w:rsidR="00026487" w:rsidRPr="00427BFD" w:rsidRDefault="00026487" w:rsidP="00026487">
      <w:pPr>
        <w:pStyle w:val="Naslov"/>
        <w:keepNext/>
        <w:rPr>
          <w:b w:val="0"/>
          <w:bCs w:val="0"/>
        </w:rPr>
      </w:pPr>
      <w:r w:rsidRPr="00427BFD">
        <w:rPr>
          <w:b w:val="0"/>
          <w:bCs w:val="0"/>
        </w:rPr>
        <w:t>Bilješka 3.</w:t>
      </w:r>
    </w:p>
    <w:p w14:paraId="5ED9C99E" w14:textId="58D45108" w:rsidR="00026487" w:rsidRPr="00427BFD" w:rsidRDefault="00F27A2F" w:rsidP="00026487">
      <w:pPr>
        <w:pStyle w:val="Naslov"/>
        <w:keepNext/>
        <w:rPr>
          <w:b w:val="0"/>
          <w:bCs w:val="0"/>
        </w:rPr>
      </w:pPr>
      <w:r w:rsidRPr="00427BFD">
        <w:rPr>
          <w:b w:val="0"/>
          <w:bCs w:val="0"/>
        </w:rPr>
        <w:t>Šifra 611</w:t>
      </w:r>
      <w:r w:rsidR="00026487" w:rsidRPr="00427BFD">
        <w:rPr>
          <w:b w:val="0"/>
          <w:bCs w:val="0"/>
        </w:rPr>
        <w:t xml:space="preserve"> do </w:t>
      </w:r>
      <w:r w:rsidRPr="00427BFD">
        <w:rPr>
          <w:b w:val="0"/>
          <w:bCs w:val="0"/>
        </w:rPr>
        <w:t>6119</w:t>
      </w:r>
      <w:r w:rsidR="00026487" w:rsidRPr="00427BFD">
        <w:rPr>
          <w:b w:val="0"/>
          <w:bCs w:val="0"/>
        </w:rPr>
        <w:t xml:space="preserve"> Porez i prirez na dohodak</w:t>
      </w:r>
    </w:p>
    <w:p w14:paraId="6418906E" w14:textId="5B59C265" w:rsidR="00026487" w:rsidRPr="00427BFD" w:rsidRDefault="00152DFD" w:rsidP="00026487">
      <w:pPr>
        <w:jc w:val="both"/>
      </w:pPr>
      <w:r w:rsidRPr="00427BFD">
        <w:t>P</w:t>
      </w:r>
      <w:r w:rsidR="00026487" w:rsidRPr="00427BFD">
        <w:t>orez i prirez na dohodak od kapitala te ostali porezi i prirezi na dohodak prihod</w:t>
      </w:r>
      <w:r w:rsidR="003A76D5" w:rsidRPr="00427BFD">
        <w:t>i</w:t>
      </w:r>
      <w:r w:rsidR="00026487" w:rsidRPr="00427BFD">
        <w:t xml:space="preserve"> </w:t>
      </w:r>
      <w:r w:rsidRPr="00427BFD">
        <w:t xml:space="preserve">su </w:t>
      </w:r>
      <w:r w:rsidR="00026487" w:rsidRPr="00427BFD">
        <w:t>jedinica lokalne i područne (regionalne) samouprave</w:t>
      </w:r>
      <w:r w:rsidR="00F27A2F" w:rsidRPr="00427BFD">
        <w:t xml:space="preserve"> stoga </w:t>
      </w:r>
      <w:r w:rsidRPr="00427BFD">
        <w:t xml:space="preserve">se </w:t>
      </w:r>
      <w:r w:rsidR="00F27A2F" w:rsidRPr="00427BFD">
        <w:t>ne iskazuju u financijskom izvještaju državnog proračuna</w:t>
      </w:r>
      <w:r w:rsidR="00026487" w:rsidRPr="00427BFD">
        <w:t xml:space="preserve">. </w:t>
      </w:r>
    </w:p>
    <w:p w14:paraId="1D69CA98" w14:textId="77777777" w:rsidR="00026487" w:rsidRPr="00427BFD" w:rsidRDefault="00026487" w:rsidP="00026487">
      <w:pPr>
        <w:pStyle w:val="Naslov"/>
        <w:keepNext/>
        <w:rPr>
          <w:b w:val="0"/>
          <w:bCs w:val="0"/>
        </w:rPr>
      </w:pPr>
    </w:p>
    <w:p w14:paraId="7E8DDBA4" w14:textId="77777777" w:rsidR="00026487" w:rsidRPr="00427BFD" w:rsidRDefault="00026487" w:rsidP="00026487">
      <w:pPr>
        <w:pStyle w:val="Naslov"/>
        <w:keepNext/>
        <w:rPr>
          <w:b w:val="0"/>
          <w:bCs w:val="0"/>
        </w:rPr>
      </w:pPr>
      <w:r w:rsidRPr="00427BFD">
        <w:rPr>
          <w:b w:val="0"/>
          <w:bCs w:val="0"/>
        </w:rPr>
        <w:t>Bilješka 4.</w:t>
      </w:r>
    </w:p>
    <w:p w14:paraId="23302C26" w14:textId="106990D9" w:rsidR="00026487" w:rsidRPr="00427BFD" w:rsidRDefault="00205DDC" w:rsidP="00026487">
      <w:pPr>
        <w:pStyle w:val="Naslov"/>
        <w:keepNext/>
        <w:rPr>
          <w:b w:val="0"/>
          <w:bCs w:val="0"/>
        </w:rPr>
      </w:pPr>
      <w:r w:rsidRPr="00427BFD">
        <w:rPr>
          <w:b w:val="0"/>
          <w:bCs w:val="0"/>
        </w:rPr>
        <w:t>Šifra 6121</w:t>
      </w:r>
      <w:r w:rsidR="00026487" w:rsidRPr="00427BFD">
        <w:rPr>
          <w:b w:val="0"/>
          <w:bCs w:val="0"/>
        </w:rPr>
        <w:t xml:space="preserve"> do </w:t>
      </w:r>
      <w:r w:rsidRPr="00427BFD">
        <w:rPr>
          <w:b w:val="0"/>
          <w:bCs w:val="0"/>
        </w:rPr>
        <w:t>6125</w:t>
      </w:r>
      <w:r w:rsidR="00026487" w:rsidRPr="00427BFD">
        <w:rPr>
          <w:b w:val="0"/>
          <w:bCs w:val="0"/>
        </w:rPr>
        <w:t xml:space="preserve"> Porez na dobit</w:t>
      </w:r>
    </w:p>
    <w:p w14:paraId="0A1A742A" w14:textId="7A312F7C" w:rsidR="00026487" w:rsidRPr="00427BFD" w:rsidRDefault="00026487" w:rsidP="00026487">
      <w:pPr>
        <w:tabs>
          <w:tab w:val="decimal" w:pos="7380"/>
        </w:tabs>
        <w:jc w:val="both"/>
      </w:pPr>
      <w:r w:rsidRPr="00427BFD">
        <w:t>Prihodi od por</w:t>
      </w:r>
      <w:r w:rsidR="00205DDC" w:rsidRPr="00427BFD">
        <w:t>eza na dobit ostvareni su u 2022</w:t>
      </w:r>
      <w:r w:rsidR="003A76D5" w:rsidRPr="00427BFD">
        <w:t>.</w:t>
      </w:r>
      <w:r w:rsidR="005F772A" w:rsidRPr="00427BFD">
        <w:t xml:space="preserve"> godini</w:t>
      </w:r>
      <w:r w:rsidR="003A76D5" w:rsidRPr="00427BFD">
        <w:t xml:space="preserve"> </w:t>
      </w:r>
      <w:r w:rsidRPr="00427BFD">
        <w:t xml:space="preserve">u iznosu od </w:t>
      </w:r>
      <w:r w:rsidR="00205DDC" w:rsidRPr="00427BFD">
        <w:t>11</w:t>
      </w:r>
      <w:r w:rsidRPr="00427BFD">
        <w:t>.</w:t>
      </w:r>
      <w:r w:rsidR="00205DDC" w:rsidRPr="00427BFD">
        <w:t>702.036.714,12</w:t>
      </w:r>
      <w:r w:rsidRPr="00427BFD">
        <w:t xml:space="preserve"> </w:t>
      </w:r>
      <w:r w:rsidR="003A76D5" w:rsidRPr="00427BFD">
        <w:t xml:space="preserve">kuna </w:t>
      </w:r>
      <w:r w:rsidR="004F0AB2" w:rsidRPr="00427BFD">
        <w:t xml:space="preserve">što je </w:t>
      </w:r>
      <w:r w:rsidR="00205DDC" w:rsidRPr="00427BFD">
        <w:t>povećanje</w:t>
      </w:r>
      <w:r w:rsidR="00475783">
        <w:t xml:space="preserve"> za 47,8% </w:t>
      </w:r>
      <w:r w:rsidRPr="00427BFD">
        <w:t xml:space="preserve">u odnosu na ostvarenih </w:t>
      </w:r>
      <w:r w:rsidR="00205DDC" w:rsidRPr="00427BFD">
        <w:t xml:space="preserve">7.915.094.959,00 </w:t>
      </w:r>
      <w:r w:rsidR="004F0AB2" w:rsidRPr="00427BFD">
        <w:t xml:space="preserve">kuna </w:t>
      </w:r>
      <w:r w:rsidR="00205DDC" w:rsidRPr="00427BFD">
        <w:t>u 2021</w:t>
      </w:r>
      <w:r w:rsidRPr="00427BFD">
        <w:t xml:space="preserve">. </w:t>
      </w:r>
      <w:r w:rsidR="003A76D5" w:rsidRPr="00427BFD">
        <w:t xml:space="preserve">godini. </w:t>
      </w:r>
      <w:r w:rsidRPr="00427BFD">
        <w:t xml:space="preserve">Razlog </w:t>
      </w:r>
      <w:r w:rsidR="00475783">
        <w:t xml:space="preserve">povećanju </w:t>
      </w:r>
      <w:r w:rsidR="003A76D5" w:rsidRPr="00427BFD">
        <w:t xml:space="preserve">je vrlo dobro poslovanje </w:t>
      </w:r>
      <w:r w:rsidR="00205DDC" w:rsidRPr="00427BFD">
        <w:t>poduzeća u 2021.</w:t>
      </w:r>
      <w:r w:rsidR="005F772A" w:rsidRPr="00427BFD">
        <w:t xml:space="preserve"> godini</w:t>
      </w:r>
      <w:r w:rsidR="008706E4" w:rsidRPr="00427BFD">
        <w:t xml:space="preserve"> i uplate poreza na dobit po završnom obračunu krajem travnja 2022. te na osnovu toga obračunate akontacije za uplatu od svibnja do prosinca 2022. godine.</w:t>
      </w:r>
    </w:p>
    <w:p w14:paraId="33E7383D" w14:textId="77777777" w:rsidR="00026487" w:rsidRPr="00427BFD" w:rsidRDefault="00026487" w:rsidP="00026487">
      <w:pPr>
        <w:tabs>
          <w:tab w:val="decimal" w:pos="7380"/>
        </w:tabs>
        <w:jc w:val="both"/>
      </w:pPr>
    </w:p>
    <w:p w14:paraId="486552DA" w14:textId="77777777" w:rsidR="00026487" w:rsidRPr="00427BFD" w:rsidRDefault="00026487" w:rsidP="00026487">
      <w:pPr>
        <w:pStyle w:val="Naslov"/>
        <w:keepNext/>
        <w:rPr>
          <w:b w:val="0"/>
          <w:bCs w:val="0"/>
        </w:rPr>
      </w:pPr>
      <w:r w:rsidRPr="00427BFD">
        <w:rPr>
          <w:b w:val="0"/>
          <w:bCs w:val="0"/>
        </w:rPr>
        <w:t>Bilješka 5.</w:t>
      </w:r>
    </w:p>
    <w:p w14:paraId="7228551A" w14:textId="1E425F46" w:rsidR="00026487" w:rsidRPr="00427BFD" w:rsidRDefault="00205DDC" w:rsidP="00026487">
      <w:pPr>
        <w:pStyle w:val="Naslov"/>
        <w:keepNext/>
        <w:rPr>
          <w:b w:val="0"/>
          <w:bCs w:val="0"/>
        </w:rPr>
      </w:pPr>
      <w:r w:rsidRPr="00427BFD">
        <w:rPr>
          <w:b w:val="0"/>
          <w:bCs w:val="0"/>
        </w:rPr>
        <w:t>Šifra 6141 do 6148</w:t>
      </w:r>
      <w:r w:rsidR="00026487" w:rsidRPr="00427BFD">
        <w:rPr>
          <w:b w:val="0"/>
          <w:bCs w:val="0"/>
        </w:rPr>
        <w:t xml:space="preserve"> Porezi na robu i usluge</w:t>
      </w:r>
    </w:p>
    <w:p w14:paraId="61601E0B" w14:textId="046AF75E" w:rsidR="003A76D5" w:rsidRPr="00427BFD" w:rsidRDefault="00360ABF" w:rsidP="00026487">
      <w:pPr>
        <w:jc w:val="both"/>
        <w:rPr>
          <w:bCs/>
        </w:rPr>
      </w:pPr>
      <w:r w:rsidRPr="00427BFD">
        <w:rPr>
          <w:bCs/>
        </w:rPr>
        <w:t xml:space="preserve">Prihodi od poreza na robu i usluge </w:t>
      </w:r>
      <w:r w:rsidR="00205DDC" w:rsidRPr="00427BFD">
        <w:rPr>
          <w:bCs/>
        </w:rPr>
        <w:t>u 2022</w:t>
      </w:r>
      <w:r w:rsidR="00026487" w:rsidRPr="00427BFD">
        <w:rPr>
          <w:bCs/>
        </w:rPr>
        <w:t xml:space="preserve">. godini </w:t>
      </w:r>
      <w:r w:rsidRPr="00427BFD">
        <w:rPr>
          <w:bCs/>
        </w:rPr>
        <w:t>ostvareni su u iznosu od</w:t>
      </w:r>
      <w:r w:rsidR="00026487" w:rsidRPr="00427BFD">
        <w:rPr>
          <w:bCs/>
        </w:rPr>
        <w:t xml:space="preserve"> </w:t>
      </w:r>
      <w:r w:rsidR="00205DDC" w:rsidRPr="00427BFD">
        <w:rPr>
          <w:bCs/>
        </w:rPr>
        <w:t>84,8</w:t>
      </w:r>
      <w:r w:rsidR="00026487" w:rsidRPr="00427BFD">
        <w:rPr>
          <w:bCs/>
        </w:rPr>
        <w:t xml:space="preserve"> milijarde kuna te su za </w:t>
      </w:r>
      <w:r w:rsidR="00205DDC" w:rsidRPr="00427BFD">
        <w:rPr>
          <w:bCs/>
        </w:rPr>
        <w:t>13,5</w:t>
      </w:r>
      <w:r w:rsidR="00026487" w:rsidRPr="00427BFD">
        <w:rPr>
          <w:bCs/>
        </w:rPr>
        <w:t xml:space="preserve">% veći u odnosu na </w:t>
      </w:r>
      <w:r w:rsidR="001F17AB" w:rsidRPr="00427BFD">
        <w:rPr>
          <w:bCs/>
        </w:rPr>
        <w:t>ostvarenje u prethodnom razdoblju</w:t>
      </w:r>
      <w:r w:rsidR="00026487" w:rsidRPr="00427BFD">
        <w:rPr>
          <w:bCs/>
        </w:rPr>
        <w:t xml:space="preserve">. </w:t>
      </w:r>
      <w:r w:rsidRPr="00427BFD">
        <w:rPr>
          <w:bCs/>
        </w:rPr>
        <w:t xml:space="preserve">Porezi na robu i usluge </w:t>
      </w:r>
      <w:r w:rsidR="00AA1AD2" w:rsidRPr="00427BFD">
        <w:rPr>
          <w:bCs/>
        </w:rPr>
        <w:t>odnose se na porez na dodanu vrijednost, porez na promet, posebne poreze i trošarine</w:t>
      </w:r>
      <w:r w:rsidRPr="00427BFD">
        <w:rPr>
          <w:bCs/>
        </w:rPr>
        <w:t>, pore</w:t>
      </w:r>
      <w:r w:rsidR="00AA1AD2" w:rsidRPr="00427BFD">
        <w:rPr>
          <w:bCs/>
        </w:rPr>
        <w:t>za na korištenje dobara, ostale</w:t>
      </w:r>
      <w:r w:rsidRPr="00427BFD">
        <w:rPr>
          <w:bCs/>
        </w:rPr>
        <w:t xml:space="preserve"> po</w:t>
      </w:r>
      <w:r w:rsidR="00475783">
        <w:rPr>
          <w:bCs/>
        </w:rPr>
        <w:t>reze</w:t>
      </w:r>
      <w:r w:rsidR="00AA1AD2" w:rsidRPr="00427BFD">
        <w:rPr>
          <w:bCs/>
        </w:rPr>
        <w:t xml:space="preserve"> na robu i usluge, poreze</w:t>
      </w:r>
      <w:r w:rsidRPr="00427BFD">
        <w:rPr>
          <w:bCs/>
        </w:rPr>
        <w:t xml:space="preserve"> na dob</w:t>
      </w:r>
      <w:r w:rsidR="00AA1AD2" w:rsidRPr="00427BFD">
        <w:rPr>
          <w:bCs/>
        </w:rPr>
        <w:t>itke od igara na sreću i naknade</w:t>
      </w:r>
      <w:r w:rsidRPr="00427BFD">
        <w:rPr>
          <w:bCs/>
        </w:rPr>
        <w:t xml:space="preserve"> za priređivanje igara na sreću.  </w:t>
      </w:r>
    </w:p>
    <w:p w14:paraId="3AA11FAA" w14:textId="77777777" w:rsidR="003A76D5" w:rsidRPr="00427BFD" w:rsidRDefault="003A76D5" w:rsidP="00026487">
      <w:pPr>
        <w:jc w:val="both"/>
        <w:rPr>
          <w:bCs/>
        </w:rPr>
      </w:pPr>
    </w:p>
    <w:p w14:paraId="5DCC4A13" w14:textId="2D769E3C" w:rsidR="000C6F9F" w:rsidRPr="00427BFD" w:rsidRDefault="00026487" w:rsidP="00026487">
      <w:pPr>
        <w:jc w:val="both"/>
        <w:rPr>
          <w:bCs/>
        </w:rPr>
      </w:pPr>
      <w:r w:rsidRPr="00427BFD">
        <w:rPr>
          <w:bCs/>
        </w:rPr>
        <w:t>Prikupljeni prihodi od po</w:t>
      </w:r>
      <w:r w:rsidR="00205DDC" w:rsidRPr="00427BFD">
        <w:rPr>
          <w:bCs/>
        </w:rPr>
        <w:t>reza na dodanu vrijednost u 2022</w:t>
      </w:r>
      <w:r w:rsidRPr="00427BFD">
        <w:rPr>
          <w:bCs/>
        </w:rPr>
        <w:t xml:space="preserve">. godini su veći za </w:t>
      </w:r>
      <w:r w:rsidR="00205DDC" w:rsidRPr="00427BFD">
        <w:rPr>
          <w:bCs/>
        </w:rPr>
        <w:t>16% u odnosu na ostvareno u 2021</w:t>
      </w:r>
      <w:r w:rsidRPr="00427BFD">
        <w:rPr>
          <w:bCs/>
        </w:rPr>
        <w:t xml:space="preserve">., </w:t>
      </w:r>
      <w:r w:rsidR="00A47A3D" w:rsidRPr="00427BFD">
        <w:rPr>
          <w:bCs/>
        </w:rPr>
        <w:t>a rezultat su rasta osobne i turističke potrošnje te kretanja cijena. Naime, promet u trgovini na malo povećan je u nominalnim iznosima 16% u 2022. godini, a turistička sezona bila je vrlo dobra.</w:t>
      </w:r>
    </w:p>
    <w:p w14:paraId="42D2C129" w14:textId="77B97E8D" w:rsidR="00026487" w:rsidRPr="00427BFD" w:rsidRDefault="00026487" w:rsidP="00026487">
      <w:pPr>
        <w:jc w:val="both"/>
        <w:rPr>
          <w:bCs/>
        </w:rPr>
      </w:pPr>
    </w:p>
    <w:p w14:paraId="137D37F7" w14:textId="5D31973B" w:rsidR="00026487" w:rsidRPr="00427BFD" w:rsidRDefault="00026487" w:rsidP="00A47A3D">
      <w:pPr>
        <w:jc w:val="both"/>
        <w:rPr>
          <w:b/>
          <w:bCs/>
        </w:rPr>
      </w:pPr>
      <w:r w:rsidRPr="00427BFD">
        <w:rPr>
          <w:bCs/>
        </w:rPr>
        <w:t>Prikupljeni prihodi od trošarina</w:t>
      </w:r>
      <w:r w:rsidR="001F17AB" w:rsidRPr="00427BFD">
        <w:rPr>
          <w:bCs/>
        </w:rPr>
        <w:t xml:space="preserve"> i posebnih poreza</w:t>
      </w:r>
      <w:r w:rsidR="00A47A3D" w:rsidRPr="00427BFD">
        <w:rPr>
          <w:bCs/>
        </w:rPr>
        <w:t xml:space="preserve"> u 2022</w:t>
      </w:r>
      <w:r w:rsidRPr="00427BFD">
        <w:rPr>
          <w:bCs/>
        </w:rPr>
        <w:t>. su os</w:t>
      </w:r>
      <w:r w:rsidR="000C6F9F" w:rsidRPr="00427BFD">
        <w:rPr>
          <w:bCs/>
        </w:rPr>
        <w:t>t</w:t>
      </w:r>
      <w:r w:rsidRPr="00427BFD">
        <w:rPr>
          <w:bCs/>
        </w:rPr>
        <w:t xml:space="preserve">vareni za </w:t>
      </w:r>
      <w:r w:rsidR="00A47A3D" w:rsidRPr="00427BFD">
        <w:rPr>
          <w:bCs/>
        </w:rPr>
        <w:t>4%</w:t>
      </w:r>
      <w:r w:rsidRPr="00427BFD">
        <w:rPr>
          <w:bCs/>
        </w:rPr>
        <w:t xml:space="preserve"> </w:t>
      </w:r>
      <w:r w:rsidR="001F17AB" w:rsidRPr="00427BFD">
        <w:rPr>
          <w:bCs/>
        </w:rPr>
        <w:t xml:space="preserve">više </w:t>
      </w:r>
      <w:r w:rsidR="00A47A3D" w:rsidRPr="00427BFD">
        <w:rPr>
          <w:bCs/>
        </w:rPr>
        <w:t>u odnosu na ostvarenje 2021</w:t>
      </w:r>
      <w:r w:rsidRPr="00427BFD">
        <w:rPr>
          <w:bCs/>
        </w:rPr>
        <w:t xml:space="preserve">. godine </w:t>
      </w:r>
      <w:r w:rsidR="00A47A3D" w:rsidRPr="00427BFD">
        <w:rPr>
          <w:bCs/>
        </w:rPr>
        <w:t>pod utjecajem oporavka gospodarske aktivnosti koji je rezultirao povećanjem intenziteta prometa i potrošnje trošarinskih proizvoda. Većina trošarinskih prihoda u 2022. godini zabilježila je međugodišnji rast. Međugodišnje smanjenje zabilježili su prihodi od trošarina na kavu i prihodi od trošarina na energente i električnu energiju. Potonji su smanjeni zbog smanjenja trošarine na benzinska i dizelska goriva, a kako bi se smanjio utjecaj inflacije na cijenu energenata.</w:t>
      </w:r>
    </w:p>
    <w:p w14:paraId="45D8B401" w14:textId="2A72F88C" w:rsidR="00026487" w:rsidRPr="00427BFD" w:rsidRDefault="00F44758" w:rsidP="00026487">
      <w:pPr>
        <w:pStyle w:val="Naslov"/>
        <w:keepNext/>
        <w:rPr>
          <w:b w:val="0"/>
          <w:bCs w:val="0"/>
        </w:rPr>
      </w:pPr>
      <w:r w:rsidRPr="00427BFD">
        <w:rPr>
          <w:b w:val="0"/>
          <w:bCs w:val="0"/>
        </w:rPr>
        <w:lastRenderedPageBreak/>
        <w:t>Bilješka</w:t>
      </w:r>
      <w:r w:rsidR="00026487" w:rsidRPr="00427BFD">
        <w:rPr>
          <w:b w:val="0"/>
          <w:bCs w:val="0"/>
        </w:rPr>
        <w:t xml:space="preserve"> 6.</w:t>
      </w:r>
    </w:p>
    <w:p w14:paraId="257E69D3" w14:textId="330C85B3" w:rsidR="00026487" w:rsidRPr="00427BFD" w:rsidRDefault="000305A0" w:rsidP="00026487">
      <w:pPr>
        <w:pStyle w:val="Naslov"/>
        <w:keepNext/>
        <w:rPr>
          <w:b w:val="0"/>
          <w:bCs w:val="0"/>
        </w:rPr>
      </w:pPr>
      <w:r w:rsidRPr="00427BFD">
        <w:rPr>
          <w:b w:val="0"/>
          <w:bCs w:val="0"/>
        </w:rPr>
        <w:t>Šifra 62</w:t>
      </w:r>
      <w:r w:rsidR="00026487" w:rsidRPr="00427BFD">
        <w:rPr>
          <w:b w:val="0"/>
          <w:bCs w:val="0"/>
        </w:rPr>
        <w:t xml:space="preserve"> Doprinosi</w:t>
      </w:r>
    </w:p>
    <w:p w14:paraId="0B1586C4" w14:textId="17399D4F" w:rsidR="00F4732E" w:rsidRPr="00427BFD" w:rsidRDefault="00360ABF" w:rsidP="00026487">
      <w:pPr>
        <w:spacing w:after="120"/>
        <w:jc w:val="both"/>
      </w:pPr>
      <w:r w:rsidRPr="00427BFD">
        <w:t xml:space="preserve">Uplate koje su evidentirane na prihodima od doprinosa za zapošljavanje odnose se na uplate s osnova dugovanja po osnovi doprinosa za zapošljavanje, budući da je isti ukinut od 1. siječnja 2019. godine. </w:t>
      </w:r>
      <w:r w:rsidR="000305A0" w:rsidRPr="00427BFD">
        <w:t>Prihodi od doprinosa u 2022</w:t>
      </w:r>
      <w:r w:rsidR="00026487" w:rsidRPr="00427BFD">
        <w:t>. g</w:t>
      </w:r>
      <w:r w:rsidR="000305A0" w:rsidRPr="00427BFD">
        <w:t>odini ostvareni su u iznosu od 12,5</w:t>
      </w:r>
      <w:r w:rsidR="00026487" w:rsidRPr="00427BFD">
        <w:t xml:space="preserve"> milijuna kuna te bilježe međugodišnje </w:t>
      </w:r>
      <w:r w:rsidR="000305A0" w:rsidRPr="00427BFD">
        <w:t>povećanje u odnosu na 2021</w:t>
      </w:r>
      <w:r w:rsidR="00026487" w:rsidRPr="00427BFD">
        <w:t xml:space="preserve">. godinu kada su ostvareni u iznosu </w:t>
      </w:r>
      <w:r w:rsidR="003A76D5" w:rsidRPr="00427BFD">
        <w:t xml:space="preserve">od </w:t>
      </w:r>
      <w:r w:rsidR="000305A0" w:rsidRPr="00427BFD">
        <w:t>9,3</w:t>
      </w:r>
      <w:r w:rsidR="00026487" w:rsidRPr="00427BFD">
        <w:t xml:space="preserve"> milijuna kuna</w:t>
      </w:r>
      <w:r w:rsidR="000305A0" w:rsidRPr="00427BFD">
        <w:t xml:space="preserve">. </w:t>
      </w:r>
    </w:p>
    <w:p w14:paraId="2AB53B9D" w14:textId="77777777" w:rsidR="00305FED" w:rsidRPr="00427BFD" w:rsidRDefault="00305FED" w:rsidP="00305FED">
      <w:pPr>
        <w:pStyle w:val="Naslov"/>
        <w:keepNext/>
        <w:rPr>
          <w:b w:val="0"/>
          <w:bCs w:val="0"/>
        </w:rPr>
      </w:pPr>
      <w:r w:rsidRPr="00427BFD">
        <w:rPr>
          <w:b w:val="0"/>
          <w:bCs w:val="0"/>
        </w:rPr>
        <w:t>Bilješka 7.</w:t>
      </w:r>
    </w:p>
    <w:p w14:paraId="05BCC11E" w14:textId="7A1FA551" w:rsidR="00305FED" w:rsidRPr="00427BFD" w:rsidRDefault="00C97B46" w:rsidP="00305FED">
      <w:pPr>
        <w:pStyle w:val="Naslov"/>
        <w:keepNext/>
        <w:rPr>
          <w:b w:val="0"/>
          <w:bCs w:val="0"/>
          <w:color w:val="FF0000"/>
        </w:rPr>
      </w:pPr>
      <w:r w:rsidRPr="00427BFD">
        <w:rPr>
          <w:b w:val="0"/>
          <w:bCs w:val="0"/>
        </w:rPr>
        <w:t>Šifra 6323</w:t>
      </w:r>
      <w:r w:rsidR="00305FED" w:rsidRPr="00427BFD">
        <w:rPr>
          <w:b w:val="0"/>
          <w:bCs w:val="0"/>
        </w:rPr>
        <w:t xml:space="preserve"> Tekuće pomoći od institucija i tijela EU</w:t>
      </w:r>
      <w:r w:rsidR="007F2D4C" w:rsidRPr="00427BFD">
        <w:rPr>
          <w:b w:val="0"/>
          <w:bCs w:val="0"/>
        </w:rPr>
        <w:t>,</w:t>
      </w:r>
      <w:r w:rsidR="00305FED" w:rsidRPr="00427BFD">
        <w:rPr>
          <w:b w:val="0"/>
          <w:bCs w:val="0"/>
        </w:rPr>
        <w:t xml:space="preserve"> </w:t>
      </w:r>
      <w:r w:rsidRPr="00427BFD">
        <w:rPr>
          <w:b w:val="0"/>
          <w:bCs w:val="0"/>
        </w:rPr>
        <w:t>Šifra 6324</w:t>
      </w:r>
      <w:r w:rsidR="00305FED" w:rsidRPr="00427BFD">
        <w:rPr>
          <w:b w:val="0"/>
          <w:bCs w:val="0"/>
        </w:rPr>
        <w:t xml:space="preserve"> Kapitalne pomoći od institucija i tijela EU</w:t>
      </w:r>
    </w:p>
    <w:p w14:paraId="3A452613" w14:textId="77777777" w:rsidR="00EA6BEA" w:rsidRPr="00427BFD" w:rsidRDefault="00EA6BEA" w:rsidP="0098535D">
      <w:pPr>
        <w:tabs>
          <w:tab w:val="decimal" w:pos="7380"/>
        </w:tabs>
        <w:jc w:val="both"/>
      </w:pPr>
    </w:p>
    <w:p w14:paraId="5EC9D8A4" w14:textId="201EE7EB" w:rsidR="00EA6BEA" w:rsidRPr="00427BFD" w:rsidRDefault="00EA6BEA" w:rsidP="00EA6BEA">
      <w:pPr>
        <w:jc w:val="both"/>
      </w:pPr>
      <w:r w:rsidRPr="00427BFD">
        <w:t>U financijskom izvještaju državnog proračuna na šifri 6323 Tekuće pomoći od institucija i tijela EU i 6324 Kapitalne pomoći od institucija i tijela EU iskazani su samo prihodi od refundacije iz pomoći EU kod EU projekata koji se prvotno financiraju iz nacionalnih sredstava, a nakon odobravanja isplaćenih troškova projekta sredstva se refundiraju u visini priznatih troškova (Izvor financiranja 55). Navedeno se odnosi na izravna plaćanja poljoprivrednim proizvođačima</w:t>
      </w:r>
      <w:r w:rsidR="003C6299" w:rsidRPr="00427BFD">
        <w:t xml:space="preserve"> (Europskog poljoprivrednog jamstvenog fonda)</w:t>
      </w:r>
      <w:r w:rsidRPr="00427BFD">
        <w:t xml:space="preserve">, projekte koje provodi Državni zavod za statistiku u statističkim programima Europske komisije, neke projekte prekogranične suradnje i drugo. Obzirom na to da sredstva koja se naknadno refundiraju na račun državnog proračuna korisnik ne može više koristiti evidentiraju se kao prihod državnog proračuna, a ne </w:t>
      </w:r>
      <w:r w:rsidR="00F9694E" w:rsidRPr="00427BFD">
        <w:t xml:space="preserve">kao </w:t>
      </w:r>
      <w:r w:rsidRPr="00427BFD">
        <w:t>prihod proračunskog korisnika.</w:t>
      </w:r>
      <w:r w:rsidR="003C6299" w:rsidRPr="00427BFD">
        <w:t xml:space="preserve"> Proračunski korisnici prihode na šiframa </w:t>
      </w:r>
      <w:r w:rsidR="000506C9" w:rsidRPr="00427BFD">
        <w:t xml:space="preserve">ovih prihoda </w:t>
      </w:r>
      <w:r w:rsidR="003C6299" w:rsidRPr="00427BFD">
        <w:t>evidentiraju za projekte koje provode iz europskih strukturnih i investicijskih fondova</w:t>
      </w:r>
      <w:r w:rsidR="00F9694E" w:rsidRPr="00427BFD">
        <w:t xml:space="preserve"> namijenjenim sufinanciranju provedbi strateških ciljeva i prioriteta definiranih operativnim programima za određeno proračunsko razdoblje.</w:t>
      </w:r>
    </w:p>
    <w:p w14:paraId="47EA5126" w14:textId="77777777" w:rsidR="00EA6BEA" w:rsidRPr="00427BFD" w:rsidRDefault="00EA6BEA" w:rsidP="0098535D">
      <w:pPr>
        <w:tabs>
          <w:tab w:val="decimal" w:pos="7380"/>
        </w:tabs>
        <w:jc w:val="both"/>
      </w:pPr>
    </w:p>
    <w:p w14:paraId="45CA7B0B" w14:textId="1BC57C5A" w:rsidR="000305A0" w:rsidRPr="00427BFD" w:rsidRDefault="001F17AB" w:rsidP="0098535D">
      <w:pPr>
        <w:tabs>
          <w:tab w:val="decimal" w:pos="7380"/>
        </w:tabs>
        <w:jc w:val="both"/>
        <w:rPr>
          <w:color w:val="FF0000"/>
        </w:rPr>
      </w:pPr>
      <w:r w:rsidRPr="00427BFD">
        <w:t>P</w:t>
      </w:r>
      <w:r w:rsidR="00305FED" w:rsidRPr="00427BFD">
        <w:t xml:space="preserve">rihodi od tekućih pomoći od institucija </w:t>
      </w:r>
      <w:r w:rsidR="000305A0" w:rsidRPr="00427BFD">
        <w:t>i tijela EU u 2022</w:t>
      </w:r>
      <w:r w:rsidRPr="00427BFD">
        <w:t>. su ostvareni</w:t>
      </w:r>
      <w:r w:rsidR="00305FED" w:rsidRPr="00427BFD">
        <w:t xml:space="preserve"> u iznosu od </w:t>
      </w:r>
      <w:r w:rsidR="000305A0" w:rsidRPr="00427BFD">
        <w:t>3,2 milija</w:t>
      </w:r>
      <w:r w:rsidR="00475783">
        <w:t>rdi kuna što je povećanje</w:t>
      </w:r>
      <w:r w:rsidR="000305A0" w:rsidRPr="00427BFD">
        <w:t xml:space="preserve"> u odnosu na 2,8</w:t>
      </w:r>
      <w:r w:rsidR="00475783">
        <w:t xml:space="preserve"> milijardi kuna ostvarenih</w:t>
      </w:r>
      <w:r w:rsidR="00305FED" w:rsidRPr="00427BFD">
        <w:t xml:space="preserve"> u </w:t>
      </w:r>
      <w:r w:rsidR="000305A0" w:rsidRPr="00427BFD">
        <w:t>2021</w:t>
      </w:r>
      <w:r w:rsidRPr="00427BFD">
        <w:t xml:space="preserve">. godini. </w:t>
      </w:r>
      <w:r w:rsidR="003A76D5" w:rsidRPr="00427BFD">
        <w:t>Od ukupnog iznosa tekućih pomoći od EU evidentiranog u okviru navedenog prihoda 2,</w:t>
      </w:r>
      <w:r w:rsidR="00360ABF" w:rsidRPr="00427BFD">
        <w:t>8</w:t>
      </w:r>
      <w:r w:rsidR="003A76D5" w:rsidRPr="00427BFD">
        <w:t xml:space="preserve"> milijardi kuna se odnosi na refundacije Europskog poljoprivrednog jamstvenog fonda (EPJF).</w:t>
      </w:r>
    </w:p>
    <w:p w14:paraId="20BAECC1" w14:textId="77777777" w:rsidR="000305A0" w:rsidRPr="00427BFD" w:rsidRDefault="000305A0" w:rsidP="0098535D">
      <w:pPr>
        <w:tabs>
          <w:tab w:val="decimal" w:pos="7380"/>
        </w:tabs>
        <w:jc w:val="both"/>
      </w:pPr>
    </w:p>
    <w:p w14:paraId="5ABBC0FC" w14:textId="64B09E85" w:rsidR="00305FED" w:rsidRPr="00427BFD" w:rsidRDefault="001F17AB" w:rsidP="0098535D">
      <w:pPr>
        <w:tabs>
          <w:tab w:val="decimal" w:pos="7380"/>
        </w:tabs>
        <w:jc w:val="both"/>
      </w:pPr>
      <w:r w:rsidRPr="00427BFD">
        <w:t>Prihodi od kapitalnih</w:t>
      </w:r>
      <w:r w:rsidR="00305FED" w:rsidRPr="00427BFD">
        <w:t xml:space="preserve"> pomoći o</w:t>
      </w:r>
      <w:r w:rsidR="001318CB" w:rsidRPr="00427BFD">
        <w:t>d institucija i tijela EU u 2022</w:t>
      </w:r>
      <w:r w:rsidR="00305FED" w:rsidRPr="00427BFD">
        <w:t xml:space="preserve">. su ostvareni u iznosu od </w:t>
      </w:r>
      <w:r w:rsidR="001318CB" w:rsidRPr="00427BFD">
        <w:t xml:space="preserve">29,5 milijuna </w:t>
      </w:r>
      <w:r w:rsidR="00305FED" w:rsidRPr="00427BFD">
        <w:t>k</w:t>
      </w:r>
      <w:r w:rsidRPr="00427BFD">
        <w:t>u</w:t>
      </w:r>
      <w:r w:rsidR="00305FED" w:rsidRPr="00427BFD">
        <w:t>n</w:t>
      </w:r>
      <w:r w:rsidRPr="00427BFD">
        <w:t>a</w:t>
      </w:r>
      <w:r w:rsidR="001318CB" w:rsidRPr="00427BFD">
        <w:t>, što je 233,3</w:t>
      </w:r>
      <w:r w:rsidR="00305FED" w:rsidRPr="00427BFD">
        <w:t>% vi</w:t>
      </w:r>
      <w:r w:rsidR="001318CB" w:rsidRPr="00427BFD">
        <w:t>še u odnosu na ostvarenje u 2021</w:t>
      </w:r>
      <w:r w:rsidR="00305FED" w:rsidRPr="00427BFD">
        <w:t xml:space="preserve">. </w:t>
      </w:r>
      <w:r w:rsidR="001318CB" w:rsidRPr="00427BFD">
        <w:t>Od ukupnog iznosa kapitalnih pomoći od EU evidentiranog u okviru navedenog prihoda u 2022. godini, 20,7 milijuna kuna odnosi se na refundacije sredstava od stane Europske komisije za projekt „Izgradnja i unapređenje infrastrukture u luci Slavonski Brod“ Lučke uprave Slavonski Brod. Sporazum o dodjeli bespovratnih sredstava za sufinanciranje projekta „Izgradnja i unapređenje infrastrukture u luci Slavonski Brod“ bio je sklopljen između Lučke uprave Slavonski Brod i Izvršne agencije za inovacije i mreže (</w:t>
      </w:r>
      <w:proofErr w:type="spellStart"/>
      <w:r w:rsidR="001318CB" w:rsidRPr="00427BFD">
        <w:t>Trustedcroatian</w:t>
      </w:r>
      <w:proofErr w:type="spellEnd"/>
      <w:r w:rsidR="001318CB" w:rsidRPr="00427BFD">
        <w:t xml:space="preserve"> </w:t>
      </w:r>
      <w:proofErr w:type="spellStart"/>
      <w:r w:rsidR="001318CB" w:rsidRPr="00427BFD">
        <w:t>Innovation</w:t>
      </w:r>
      <w:proofErr w:type="spellEnd"/>
      <w:r w:rsidR="001318CB" w:rsidRPr="00427BFD">
        <w:t xml:space="preserve"> </w:t>
      </w:r>
      <w:proofErr w:type="spellStart"/>
      <w:r w:rsidR="001318CB" w:rsidRPr="00427BFD">
        <w:t>and</w:t>
      </w:r>
      <w:proofErr w:type="spellEnd"/>
      <w:r w:rsidR="001318CB" w:rsidRPr="00427BFD">
        <w:t xml:space="preserve"> </w:t>
      </w:r>
      <w:proofErr w:type="spellStart"/>
      <w:r w:rsidR="001318CB" w:rsidRPr="00427BFD">
        <w:t>Networks</w:t>
      </w:r>
      <w:proofErr w:type="spellEnd"/>
      <w:r w:rsidR="001318CB" w:rsidRPr="00427BFD">
        <w:t xml:space="preserve"> </w:t>
      </w:r>
      <w:proofErr w:type="spellStart"/>
      <w:r w:rsidR="001318CB" w:rsidRPr="00427BFD">
        <w:t>Executive</w:t>
      </w:r>
      <w:proofErr w:type="spellEnd"/>
      <w:r w:rsidR="001318CB" w:rsidRPr="00427BFD">
        <w:t xml:space="preserve"> </w:t>
      </w:r>
      <w:proofErr w:type="spellStart"/>
      <w:r w:rsidR="001318CB" w:rsidRPr="00427BFD">
        <w:t>Agency</w:t>
      </w:r>
      <w:proofErr w:type="spellEnd"/>
      <w:r w:rsidR="001318CB" w:rsidRPr="00427BFD">
        <w:t xml:space="preserve"> – INEA), a razdoblje trajanja projekta bilo je od 1. ožujka 2017. do 31. ožujka 2020. </w:t>
      </w:r>
    </w:p>
    <w:p w14:paraId="39C7AF08" w14:textId="77777777" w:rsidR="0098535D" w:rsidRPr="00427BFD" w:rsidRDefault="0098535D" w:rsidP="0098535D">
      <w:pPr>
        <w:pStyle w:val="Naslov"/>
        <w:keepNext/>
        <w:rPr>
          <w:b w:val="0"/>
          <w:bCs w:val="0"/>
        </w:rPr>
      </w:pPr>
    </w:p>
    <w:p w14:paraId="0B22B454" w14:textId="50808E02" w:rsidR="00A34822" w:rsidRPr="00427BFD" w:rsidRDefault="0098535D" w:rsidP="00A34822">
      <w:pPr>
        <w:pStyle w:val="Naslov"/>
        <w:keepNext/>
        <w:rPr>
          <w:b w:val="0"/>
          <w:bCs w:val="0"/>
        </w:rPr>
      </w:pPr>
      <w:r w:rsidRPr="00427BFD">
        <w:rPr>
          <w:b w:val="0"/>
          <w:bCs w:val="0"/>
        </w:rPr>
        <w:t xml:space="preserve">Bilješka 8. </w:t>
      </w:r>
    </w:p>
    <w:p w14:paraId="30DAC032" w14:textId="77777777" w:rsidR="00802402" w:rsidRPr="00427BFD" w:rsidRDefault="00C97B46" w:rsidP="00A34822">
      <w:pPr>
        <w:pStyle w:val="Naslov"/>
        <w:keepNext/>
        <w:rPr>
          <w:b w:val="0"/>
          <w:bCs w:val="0"/>
        </w:rPr>
      </w:pPr>
      <w:r w:rsidRPr="00427BFD">
        <w:rPr>
          <w:b w:val="0"/>
          <w:bCs w:val="0"/>
        </w:rPr>
        <w:t>Šifra</w:t>
      </w:r>
      <w:r w:rsidR="00D854F3" w:rsidRPr="00427BFD">
        <w:rPr>
          <w:b w:val="0"/>
          <w:bCs w:val="0"/>
        </w:rPr>
        <w:t xml:space="preserve"> </w:t>
      </w:r>
      <w:r w:rsidRPr="00427BFD">
        <w:rPr>
          <w:b w:val="0"/>
          <w:bCs w:val="0"/>
        </w:rPr>
        <w:t xml:space="preserve">6413 Kamate na oročena </w:t>
      </w:r>
      <w:r w:rsidR="00802402" w:rsidRPr="00427BFD">
        <w:rPr>
          <w:b w:val="0"/>
          <w:bCs w:val="0"/>
        </w:rPr>
        <w:t>sredstva i depozite po viđenju</w:t>
      </w:r>
    </w:p>
    <w:p w14:paraId="411AFCE5" w14:textId="1F61CEED" w:rsidR="00802402" w:rsidRPr="00427BFD" w:rsidRDefault="00F9694E" w:rsidP="00802402">
      <w:pPr>
        <w:spacing w:after="200"/>
        <w:jc w:val="both"/>
        <w:rPr>
          <w:color w:val="000000"/>
        </w:rPr>
      </w:pPr>
      <w:r w:rsidRPr="00427BFD">
        <w:rPr>
          <w:color w:val="000000"/>
        </w:rPr>
        <w:t>P</w:t>
      </w:r>
      <w:r w:rsidR="00802402" w:rsidRPr="00427BFD">
        <w:rPr>
          <w:color w:val="000000"/>
        </w:rPr>
        <w:t xml:space="preserve">rihodi od kamata na oročena sredstva i depozite po viđenju ostvareni su u iznosu od 44.415.486,20 </w:t>
      </w:r>
      <w:r w:rsidR="00802402" w:rsidRPr="00427BFD">
        <w:t>kuna</w:t>
      </w:r>
      <w:r w:rsidR="00802402" w:rsidRPr="00427BFD">
        <w:rPr>
          <w:color w:val="000000"/>
        </w:rPr>
        <w:t>, odnosno 474% više u odnosu na ostvarenje 2021. godine. Povećanje kamate na depozite po viđenju u 2022. godini rezultat je promjene kamatne stope na depozite po viđenju u valuti euro od 1. rujna 2022.</w:t>
      </w:r>
      <w:r w:rsidR="00802402" w:rsidRPr="00427BFD">
        <w:t xml:space="preserve"> </w:t>
      </w:r>
      <w:r w:rsidR="00802402" w:rsidRPr="00427BFD">
        <w:rPr>
          <w:color w:val="000000"/>
        </w:rPr>
        <w:t>Naime, do 1. rujna 2022. godine Hrvatska narodna banka na depozite države obračunavala je negativnu kamatnu stopu ili 0</w:t>
      </w:r>
      <w:r w:rsidRPr="00427BFD">
        <w:rPr>
          <w:color w:val="000000"/>
        </w:rPr>
        <w:t xml:space="preserve"> posto</w:t>
      </w:r>
      <w:r w:rsidR="00802402" w:rsidRPr="00427BFD">
        <w:rPr>
          <w:color w:val="000000"/>
        </w:rPr>
        <w:t>.</w:t>
      </w:r>
    </w:p>
    <w:p w14:paraId="34DD6E0A" w14:textId="5C252970" w:rsidR="00802402" w:rsidRPr="00427BFD" w:rsidRDefault="006618C2" w:rsidP="006618C2">
      <w:pPr>
        <w:pStyle w:val="Naslov"/>
        <w:keepNext/>
        <w:rPr>
          <w:b w:val="0"/>
          <w:bCs w:val="0"/>
        </w:rPr>
      </w:pPr>
      <w:r w:rsidRPr="00427BFD">
        <w:rPr>
          <w:b w:val="0"/>
          <w:bCs w:val="0"/>
        </w:rPr>
        <w:lastRenderedPageBreak/>
        <w:t xml:space="preserve">Bilješka 9. </w:t>
      </w:r>
    </w:p>
    <w:p w14:paraId="1B9E44BB" w14:textId="77777777" w:rsidR="00802402" w:rsidRPr="00427BFD" w:rsidRDefault="00C97B46" w:rsidP="00A34822">
      <w:pPr>
        <w:pStyle w:val="Naslov"/>
        <w:keepNext/>
        <w:rPr>
          <w:b w:val="0"/>
          <w:bCs w:val="0"/>
        </w:rPr>
      </w:pPr>
      <w:r w:rsidRPr="00427BFD">
        <w:rPr>
          <w:b w:val="0"/>
          <w:bCs w:val="0"/>
        </w:rPr>
        <w:t>Šifra 6</w:t>
      </w:r>
      <w:r w:rsidR="00802402" w:rsidRPr="00427BFD">
        <w:rPr>
          <w:b w:val="0"/>
          <w:bCs w:val="0"/>
        </w:rPr>
        <w:t>414 Prihodi od zateznih kamata</w:t>
      </w:r>
    </w:p>
    <w:p w14:paraId="3D924596" w14:textId="77777777" w:rsidR="0057043D" w:rsidRPr="00427BFD" w:rsidRDefault="0057043D" w:rsidP="0057043D">
      <w:pPr>
        <w:spacing w:after="200"/>
        <w:jc w:val="both"/>
        <w:rPr>
          <w:color w:val="000000"/>
        </w:rPr>
      </w:pPr>
      <w:r w:rsidRPr="00427BFD">
        <w:rPr>
          <w:color w:val="000000"/>
        </w:rPr>
        <w:t xml:space="preserve">U okviru prihoda od zateznih kamata evidentirane su zatezne kamate u iznosu od 5.661.438,36 kuna temeljem Ugovora o zajmu kojeg su 23. prosinca 2020. godine sklopili Republika Hrvatska, Ministarstvo mora, prometa i infrastrukture i HŽ </w:t>
      </w:r>
      <w:proofErr w:type="spellStart"/>
      <w:r w:rsidRPr="00427BFD">
        <w:rPr>
          <w:color w:val="000000"/>
        </w:rPr>
        <w:t>Cargo</w:t>
      </w:r>
      <w:proofErr w:type="spellEnd"/>
      <w:r w:rsidRPr="00427BFD">
        <w:rPr>
          <w:color w:val="000000"/>
        </w:rPr>
        <w:t xml:space="preserve"> </w:t>
      </w:r>
      <w:proofErr w:type="spellStart"/>
      <w:r w:rsidRPr="00427BFD">
        <w:rPr>
          <w:color w:val="000000"/>
        </w:rPr>
        <w:t>d.o.o</w:t>
      </w:r>
      <w:proofErr w:type="spellEnd"/>
      <w:r w:rsidRPr="00427BFD">
        <w:rPr>
          <w:color w:val="000000"/>
        </w:rPr>
        <w:t xml:space="preserve"> temeljem Odluke Vlade Republike Hrvatske o odobrenju državne potpore za sanaciju društva HŽ </w:t>
      </w:r>
      <w:proofErr w:type="spellStart"/>
      <w:r w:rsidRPr="00427BFD">
        <w:rPr>
          <w:color w:val="000000"/>
        </w:rPr>
        <w:t>Cargo</w:t>
      </w:r>
      <w:proofErr w:type="spellEnd"/>
      <w:r w:rsidRPr="00427BFD">
        <w:rPr>
          <w:color w:val="000000"/>
        </w:rPr>
        <w:t xml:space="preserve"> d.o.o. Zatezna kamata obračunata je za razdoblje od datuma isteka roka dospijeća zajma do datuma konačne otplate zajma.</w:t>
      </w:r>
    </w:p>
    <w:p w14:paraId="1E66C591" w14:textId="7160F9D7" w:rsidR="00802402" w:rsidRPr="00427BFD" w:rsidRDefault="006618C2" w:rsidP="006618C2">
      <w:pPr>
        <w:pStyle w:val="Naslov"/>
        <w:keepNext/>
        <w:rPr>
          <w:b w:val="0"/>
          <w:bCs w:val="0"/>
        </w:rPr>
      </w:pPr>
      <w:r w:rsidRPr="00427BFD">
        <w:rPr>
          <w:b w:val="0"/>
          <w:bCs w:val="0"/>
        </w:rPr>
        <w:t xml:space="preserve">Bilješka 10. </w:t>
      </w:r>
    </w:p>
    <w:p w14:paraId="7ACA09B1" w14:textId="0E5849E0" w:rsidR="00A34822" w:rsidRPr="00427BFD" w:rsidRDefault="00C97B46" w:rsidP="00802402">
      <w:pPr>
        <w:pStyle w:val="Naslov"/>
        <w:keepNext/>
        <w:rPr>
          <w:b w:val="0"/>
          <w:bCs w:val="0"/>
        </w:rPr>
      </w:pPr>
      <w:r w:rsidRPr="00427BFD">
        <w:rPr>
          <w:b w:val="0"/>
          <w:bCs w:val="0"/>
        </w:rPr>
        <w:t xml:space="preserve">Šifra </w:t>
      </w:r>
      <w:r w:rsidR="00A34822" w:rsidRPr="00427BFD">
        <w:rPr>
          <w:b w:val="0"/>
          <w:bCs w:val="0"/>
        </w:rPr>
        <w:t>6415</w:t>
      </w:r>
      <w:r w:rsidRPr="00427BFD">
        <w:rPr>
          <w:b w:val="0"/>
          <w:bCs w:val="0"/>
        </w:rPr>
        <w:t xml:space="preserve"> Prihodi od pozitivnih tečajnih razlika i razlika zbog primjene valutne klauzule</w:t>
      </w:r>
      <w:r w:rsidR="00A34822" w:rsidRPr="00427BFD">
        <w:rPr>
          <w:b w:val="0"/>
          <w:bCs w:val="0"/>
        </w:rPr>
        <w:t xml:space="preserve"> </w:t>
      </w:r>
    </w:p>
    <w:p w14:paraId="112606B9" w14:textId="1D0B5365" w:rsidR="0057043D" w:rsidRPr="00427BFD" w:rsidRDefault="0057043D" w:rsidP="008D78CD">
      <w:pPr>
        <w:jc w:val="both"/>
        <w:rPr>
          <w:color w:val="000000"/>
        </w:rPr>
      </w:pPr>
      <w:r w:rsidRPr="00427BFD">
        <w:rPr>
          <w:color w:val="000000"/>
        </w:rPr>
        <w:t xml:space="preserve">Prihodi od pozitivnih tečajnih razlika i razlika zbog primjene valutne klauzule u 2022. veći su u odnosu na ostvarenje u 2021. za 28,8%. Na povećanje prihoda od pozitivnih tečajnih razlika u obračunskom razdoblju 1. siječnja 2022. do 31. prosinca 2022. najviše je utjecala pozitivna tečajna razlika ostvarena u svibnju 2022. godine u nominalnom iznosu </w:t>
      </w:r>
      <w:r w:rsidR="00F9694E" w:rsidRPr="00427BFD">
        <w:rPr>
          <w:color w:val="000000"/>
        </w:rPr>
        <w:t xml:space="preserve">od </w:t>
      </w:r>
      <w:r w:rsidRPr="00427BFD">
        <w:rPr>
          <w:color w:val="000000"/>
        </w:rPr>
        <w:t xml:space="preserve">76.975.000,00 </w:t>
      </w:r>
      <w:r w:rsidR="00F9694E" w:rsidRPr="00427BFD">
        <w:rPr>
          <w:color w:val="000000"/>
        </w:rPr>
        <w:t>kuna</w:t>
      </w:r>
      <w:r w:rsidRPr="00427BFD">
        <w:rPr>
          <w:color w:val="000000"/>
        </w:rPr>
        <w:t xml:space="preserve"> prilikom otplate glavnice </w:t>
      </w:r>
      <w:proofErr w:type="spellStart"/>
      <w:r w:rsidRPr="00427BFD">
        <w:rPr>
          <w:color w:val="000000"/>
        </w:rPr>
        <w:t>euroobveznica</w:t>
      </w:r>
      <w:proofErr w:type="spellEnd"/>
      <w:r w:rsidRPr="00427BFD">
        <w:rPr>
          <w:color w:val="000000"/>
        </w:rPr>
        <w:t xml:space="preserve">, a  radi deprecijacije valute </w:t>
      </w:r>
      <w:r w:rsidR="00F9694E" w:rsidRPr="00427BFD">
        <w:rPr>
          <w:color w:val="000000"/>
        </w:rPr>
        <w:t>eura</w:t>
      </w:r>
      <w:r w:rsidRPr="00427BFD">
        <w:rPr>
          <w:color w:val="000000"/>
        </w:rPr>
        <w:t xml:space="preserve"> u odnosnu na </w:t>
      </w:r>
      <w:r w:rsidR="00F9694E" w:rsidRPr="00427BFD">
        <w:rPr>
          <w:color w:val="000000"/>
        </w:rPr>
        <w:t>kunu</w:t>
      </w:r>
      <w:r w:rsidRPr="00427BFD">
        <w:rPr>
          <w:color w:val="000000"/>
        </w:rPr>
        <w:t xml:space="preserve">. Na povećanje prihoda od valutne klauzule najviše je utjecao prihod ostvaren u listopadu 2022. godine u nominalnom iznosu </w:t>
      </w:r>
      <w:r w:rsidR="00F9694E" w:rsidRPr="00427BFD">
        <w:rPr>
          <w:color w:val="000000"/>
        </w:rPr>
        <w:t>od 586.692,00 kuna</w:t>
      </w:r>
      <w:r w:rsidRPr="00427BFD">
        <w:rPr>
          <w:color w:val="000000"/>
        </w:rPr>
        <w:t xml:space="preserve"> prilikom otplate glavnice kredita u Erste banci vezanog uz valutu </w:t>
      </w:r>
      <w:r w:rsidR="00F9694E" w:rsidRPr="00427BFD">
        <w:rPr>
          <w:color w:val="000000"/>
        </w:rPr>
        <w:t>euro</w:t>
      </w:r>
      <w:r w:rsidRPr="00427BFD">
        <w:rPr>
          <w:color w:val="000000"/>
        </w:rPr>
        <w:t xml:space="preserve">. Na navedeno je također utjecala deprecijacija valute </w:t>
      </w:r>
      <w:r w:rsidR="00F9694E" w:rsidRPr="00427BFD">
        <w:rPr>
          <w:color w:val="000000"/>
        </w:rPr>
        <w:t>eura</w:t>
      </w:r>
      <w:r w:rsidRPr="00427BFD">
        <w:rPr>
          <w:color w:val="000000"/>
        </w:rPr>
        <w:t xml:space="preserve"> u odnosu </w:t>
      </w:r>
      <w:r w:rsidR="00F9694E" w:rsidRPr="00427BFD">
        <w:rPr>
          <w:color w:val="000000"/>
        </w:rPr>
        <w:t>na kunu</w:t>
      </w:r>
      <w:r w:rsidRPr="00427BFD">
        <w:rPr>
          <w:color w:val="000000"/>
        </w:rPr>
        <w:t>.</w:t>
      </w:r>
    </w:p>
    <w:p w14:paraId="6C16C62D" w14:textId="77777777" w:rsidR="0057043D" w:rsidRPr="00427BFD" w:rsidRDefault="0057043D" w:rsidP="00802402">
      <w:pPr>
        <w:pStyle w:val="Naslov"/>
        <w:keepNext/>
        <w:rPr>
          <w:b w:val="0"/>
          <w:bCs w:val="0"/>
        </w:rPr>
      </w:pPr>
    </w:p>
    <w:p w14:paraId="4E289A90" w14:textId="720CEC0E" w:rsidR="00A34822" w:rsidRPr="00427BFD" w:rsidRDefault="00A34822" w:rsidP="00A34822">
      <w:pPr>
        <w:pStyle w:val="Naslov"/>
        <w:keepNext/>
        <w:rPr>
          <w:b w:val="0"/>
          <w:bCs w:val="0"/>
        </w:rPr>
      </w:pPr>
      <w:r w:rsidRPr="00427BFD">
        <w:rPr>
          <w:b w:val="0"/>
          <w:bCs w:val="0"/>
        </w:rPr>
        <w:t xml:space="preserve">Bilješka </w:t>
      </w:r>
      <w:r w:rsidR="006618C2" w:rsidRPr="00427BFD">
        <w:rPr>
          <w:b w:val="0"/>
          <w:bCs w:val="0"/>
        </w:rPr>
        <w:t>11</w:t>
      </w:r>
      <w:r w:rsidR="00464A05" w:rsidRPr="00427BFD">
        <w:rPr>
          <w:b w:val="0"/>
          <w:bCs w:val="0"/>
        </w:rPr>
        <w:t>.</w:t>
      </w:r>
    </w:p>
    <w:p w14:paraId="31E5F03A" w14:textId="652259EB" w:rsidR="007867BE" w:rsidRPr="00427BFD" w:rsidRDefault="00C97B46" w:rsidP="00802402">
      <w:pPr>
        <w:pStyle w:val="Naslov"/>
        <w:keepNext/>
        <w:rPr>
          <w:b w:val="0"/>
          <w:bCs w:val="0"/>
        </w:rPr>
      </w:pPr>
      <w:r w:rsidRPr="00427BFD">
        <w:rPr>
          <w:b w:val="0"/>
          <w:bCs w:val="0"/>
        </w:rPr>
        <w:t>Š</w:t>
      </w:r>
      <w:r w:rsidR="007867BE" w:rsidRPr="00427BFD">
        <w:rPr>
          <w:b w:val="0"/>
          <w:bCs w:val="0"/>
        </w:rPr>
        <w:t>ifra 6416 Prihodi od dividendi</w:t>
      </w:r>
    </w:p>
    <w:p w14:paraId="5A695C5A" w14:textId="4C744646" w:rsidR="007867BE" w:rsidRPr="00427BFD" w:rsidRDefault="001318CB" w:rsidP="001318CB">
      <w:pPr>
        <w:spacing w:after="200"/>
        <w:jc w:val="both"/>
        <w:rPr>
          <w:color w:val="000000"/>
        </w:rPr>
      </w:pPr>
      <w:r w:rsidRPr="00427BFD">
        <w:rPr>
          <w:color w:val="000000"/>
        </w:rPr>
        <w:t>Prihodi od dividendi ostv</w:t>
      </w:r>
      <w:r w:rsidR="003C1953" w:rsidRPr="00427BFD">
        <w:rPr>
          <w:color w:val="000000"/>
        </w:rPr>
        <w:t>areni su u 2022.</w:t>
      </w:r>
      <w:r w:rsidR="005B2369" w:rsidRPr="00427BFD">
        <w:rPr>
          <w:color w:val="000000"/>
        </w:rPr>
        <w:t xml:space="preserve"> godini</w:t>
      </w:r>
      <w:r w:rsidR="003C1953" w:rsidRPr="00427BFD">
        <w:rPr>
          <w:color w:val="000000"/>
        </w:rPr>
        <w:t xml:space="preserve"> u iznosu od 521,9</w:t>
      </w:r>
      <w:r w:rsidRPr="00427BFD">
        <w:rPr>
          <w:color w:val="000000"/>
        </w:rPr>
        <w:t xml:space="preserve"> milijuna kuna, što je povećanje od 47,5% u odnosu na ostvarenje u 2021. </w:t>
      </w:r>
    </w:p>
    <w:p w14:paraId="006711E3" w14:textId="6C3B83D0" w:rsidR="001318CB" w:rsidRPr="00427BFD" w:rsidRDefault="001318CB" w:rsidP="001318CB">
      <w:pPr>
        <w:spacing w:after="200"/>
        <w:jc w:val="both"/>
        <w:rPr>
          <w:color w:val="000000"/>
        </w:rPr>
      </w:pPr>
      <w:r w:rsidRPr="00427BFD">
        <w:rPr>
          <w:color w:val="000000"/>
        </w:rPr>
        <w:t>U okviru prihoda od dividendi najveći iznos odnosi se na uplatu dividende INA-industrije nafte d.d. u iznosu od 439,4 milijuna kuna.</w:t>
      </w:r>
      <w:r w:rsidR="003C1953" w:rsidRPr="00427BFD">
        <w:t xml:space="preserve"> </w:t>
      </w:r>
      <w:r w:rsidR="003C1953" w:rsidRPr="00427BFD">
        <w:rPr>
          <w:color w:val="000000"/>
        </w:rPr>
        <w:t>U okviru prihoda od dividendi ostvarenih u 2022. godini evidentiran je i prihod od dividendi trgovačkih društava čiji je imatelj ili ovlaštenik Republika Hrvatska i Hrvatski zavod za mirovinsko osiguranje</w:t>
      </w:r>
      <w:r w:rsidR="00475783">
        <w:rPr>
          <w:color w:val="000000"/>
        </w:rPr>
        <w:t xml:space="preserve">, a kojima </w:t>
      </w:r>
      <w:r w:rsidR="003C1953" w:rsidRPr="00427BFD">
        <w:rPr>
          <w:color w:val="000000"/>
        </w:rPr>
        <w:t>u svojstv</w:t>
      </w:r>
      <w:r w:rsidR="00475783">
        <w:rPr>
          <w:color w:val="000000"/>
        </w:rPr>
        <w:t>u zakonskog zastupnika</w:t>
      </w:r>
      <w:r w:rsidR="003C1953" w:rsidRPr="00427BFD">
        <w:rPr>
          <w:color w:val="000000"/>
        </w:rPr>
        <w:t xml:space="preserve"> upravlja Centar za restrukturiranje i prodaju u iznosu od  41.738.058,21 kuna što je 20,0 % više u odnosu na prethodnu godinu.</w:t>
      </w:r>
    </w:p>
    <w:p w14:paraId="0F214179" w14:textId="162080E3" w:rsidR="007867BE" w:rsidRPr="00427BFD" w:rsidRDefault="007867BE" w:rsidP="007867BE">
      <w:pPr>
        <w:pStyle w:val="Naslov"/>
        <w:keepNext/>
        <w:rPr>
          <w:b w:val="0"/>
          <w:bCs w:val="0"/>
        </w:rPr>
      </w:pPr>
      <w:r w:rsidRPr="00427BFD">
        <w:rPr>
          <w:b w:val="0"/>
          <w:bCs w:val="0"/>
        </w:rPr>
        <w:t xml:space="preserve">Bilješka </w:t>
      </w:r>
      <w:r w:rsidR="006618C2" w:rsidRPr="00427BFD">
        <w:rPr>
          <w:b w:val="0"/>
          <w:bCs w:val="0"/>
        </w:rPr>
        <w:t>12</w:t>
      </w:r>
      <w:r w:rsidRPr="00427BFD">
        <w:rPr>
          <w:b w:val="0"/>
          <w:bCs w:val="0"/>
        </w:rPr>
        <w:t>.</w:t>
      </w:r>
    </w:p>
    <w:p w14:paraId="617AFCEE" w14:textId="3AED7D37" w:rsidR="007867BE" w:rsidRPr="00427BFD" w:rsidRDefault="007867BE" w:rsidP="007867BE">
      <w:pPr>
        <w:spacing w:after="200"/>
        <w:jc w:val="center"/>
        <w:rPr>
          <w:sz w:val="28"/>
        </w:rPr>
      </w:pPr>
      <w:r w:rsidRPr="00427BFD">
        <w:rPr>
          <w:sz w:val="28"/>
        </w:rPr>
        <w:t>Šifra 6417 Prihodi iz dobiti trgovačkih društava, kreditnih i ostalih financijskih institucija po posebnim propisima</w:t>
      </w:r>
    </w:p>
    <w:p w14:paraId="0D25DD87" w14:textId="1886CD08" w:rsidR="001318CB" w:rsidRPr="00427BFD" w:rsidRDefault="007867BE" w:rsidP="001318CB">
      <w:pPr>
        <w:spacing w:after="200"/>
        <w:jc w:val="both"/>
        <w:rPr>
          <w:color w:val="000000"/>
        </w:rPr>
      </w:pPr>
      <w:r w:rsidRPr="00427BFD">
        <w:rPr>
          <w:color w:val="000000"/>
        </w:rPr>
        <w:t>O</w:t>
      </w:r>
      <w:r w:rsidR="001318CB" w:rsidRPr="00427BFD">
        <w:rPr>
          <w:color w:val="000000"/>
        </w:rPr>
        <w:t>stvareni prihodi iz dobiti trgovačkih društava u</w:t>
      </w:r>
      <w:r w:rsidR="00F24A3D" w:rsidRPr="00427BFD">
        <w:rPr>
          <w:color w:val="000000"/>
        </w:rPr>
        <w:t xml:space="preserve"> javnom sektoru u 2022. iznose </w:t>
      </w:r>
      <w:r w:rsidR="001318CB" w:rsidRPr="00427BFD">
        <w:rPr>
          <w:color w:val="000000"/>
        </w:rPr>
        <w:t>310,9 milijuna kuna i smanjeni su u odnosu na ostvarenje u 2</w:t>
      </w:r>
      <w:r w:rsidR="003A76D5" w:rsidRPr="00427BFD">
        <w:rPr>
          <w:color w:val="000000"/>
        </w:rPr>
        <w:t xml:space="preserve">021. za 67,3%. Razlog smanjenju </w:t>
      </w:r>
      <w:r w:rsidR="001318CB" w:rsidRPr="00427BFD">
        <w:rPr>
          <w:color w:val="000000"/>
        </w:rPr>
        <w:t>ostvarenih navedenih prihoda u 2022. najvećim dijelom odnosi se na izuzeće uplate dobiti za 2021. trgovačkog društva Hrvatska elektroprivreda d.d. u okolnostima borbe s energetskom krizom uzrokovanom ratom u Ukrajini. Najveći iznos prihoda po osnovi dobiti trgovačkih društava u javnom sektoru odnosi se na uplatu Agencije za komercijalnu djelatnost d.o.o. u iznosu od 39,7 milijuna kuna, Hrvatskih šuma d.o.o. u iznosu od 37,9 milijuna kuna te HP-Hrvatske pošte d.d. u iznosu od 29,2 milijuna kuna. Uplata dobiti HNB-a u 2022. godini iznosila je 45,1 milijun kuna.</w:t>
      </w:r>
    </w:p>
    <w:p w14:paraId="56034628" w14:textId="0FB84C93" w:rsidR="007867BE" w:rsidRPr="00427BFD" w:rsidRDefault="007867BE" w:rsidP="007867BE">
      <w:pPr>
        <w:pStyle w:val="Naslov"/>
        <w:keepNext/>
        <w:rPr>
          <w:b w:val="0"/>
          <w:bCs w:val="0"/>
        </w:rPr>
      </w:pPr>
      <w:r w:rsidRPr="00427BFD">
        <w:rPr>
          <w:b w:val="0"/>
          <w:bCs w:val="0"/>
        </w:rPr>
        <w:lastRenderedPageBreak/>
        <w:t xml:space="preserve">Bilješka </w:t>
      </w:r>
      <w:r w:rsidR="006618C2" w:rsidRPr="00427BFD">
        <w:rPr>
          <w:b w:val="0"/>
          <w:bCs w:val="0"/>
        </w:rPr>
        <w:t>13</w:t>
      </w:r>
      <w:r w:rsidRPr="00427BFD">
        <w:rPr>
          <w:b w:val="0"/>
          <w:bCs w:val="0"/>
        </w:rPr>
        <w:t>.</w:t>
      </w:r>
    </w:p>
    <w:p w14:paraId="45982772" w14:textId="4979857F" w:rsidR="007867BE" w:rsidRPr="00427BFD" w:rsidRDefault="007867BE" w:rsidP="007867BE">
      <w:pPr>
        <w:pStyle w:val="Naslov"/>
        <w:keepNext/>
        <w:rPr>
          <w:b w:val="0"/>
          <w:bCs w:val="0"/>
        </w:rPr>
      </w:pPr>
      <w:r w:rsidRPr="00427BFD">
        <w:rPr>
          <w:b w:val="0"/>
          <w:bCs w:val="0"/>
        </w:rPr>
        <w:t>Šifra 6419 Ostali prihodi od financijske imovine</w:t>
      </w:r>
    </w:p>
    <w:p w14:paraId="6C0B4776" w14:textId="77777777" w:rsidR="007867BE" w:rsidRPr="00427BFD" w:rsidRDefault="007867BE" w:rsidP="007867BE">
      <w:pPr>
        <w:pStyle w:val="Naslov"/>
        <w:keepNext/>
        <w:rPr>
          <w:b w:val="0"/>
          <w:bCs w:val="0"/>
        </w:rPr>
      </w:pPr>
    </w:p>
    <w:p w14:paraId="23AEBA21" w14:textId="636C8BA7" w:rsidR="001318CB" w:rsidRPr="00427BFD" w:rsidRDefault="001318CB" w:rsidP="001318CB">
      <w:pPr>
        <w:spacing w:after="200"/>
        <w:jc w:val="both"/>
      </w:pPr>
      <w:r w:rsidRPr="00427BFD">
        <w:t>Ostali prihodi od financijske imovine u razdoblju od 1. siječnja do 31. prosinca 2022. godine ostvareni su u iznosu od 218 milijuna kuna, što je za 23,6 % više u odnosu na evidentirane prihode u istom razdoblju 2021. godine. U ožujku 2022. godine Hrvatska agencija za osiguranje depozita s osnove naplaćenih potraživanja temeljem sklopljenog sporazuma između Hrvatske agencije za osiguranje depozita i Ministarstva prostornoga uređenja, graditeljstva i državne imovine u Državni je proračun uplatila iznos od 14.835.873,10 kuna</w:t>
      </w:r>
      <w:r w:rsidR="00EA1D45" w:rsidRPr="00427BFD">
        <w:t xml:space="preserve"> i 23.432.562,74 kune</w:t>
      </w:r>
      <w:r w:rsidRPr="00427BFD">
        <w:t xml:space="preserve">. </w:t>
      </w:r>
    </w:p>
    <w:p w14:paraId="0F6A1948" w14:textId="77777777" w:rsidR="008657FD" w:rsidRPr="00427BFD" w:rsidRDefault="001318CB" w:rsidP="001318CB">
      <w:pPr>
        <w:spacing w:after="200"/>
        <w:jc w:val="both"/>
      </w:pPr>
      <w:r w:rsidRPr="00427BFD">
        <w:t>U lipnju 2017. godine tadašnje Ministarstvo državne imovine (danas Ministarstvo prostornoga uređenja, graditeljstva i državne imovine) i tadašnja Državna agencija za osiguranje štednih uloga i sanaciju banaka (današnja Hrvatska agencija za osiguranje depozita) zaključili su Sporazum o prijenosu i ustupu imovine. Navedenim Sporazumom Hrvatska agencija za osiguranje depozita je imovinu koju je stekla sanacijom šest banaka koje su provedene od 1995. do 2000. prenijela na upravljanje Ministarstvu državne imovine (spomenuta imovina odnosi se na dionice i udjele trgovačkih društva, nekret</w:t>
      </w:r>
      <w:r w:rsidR="008657FD" w:rsidRPr="00427BFD">
        <w:t>nine te preuzeta potraživanja).</w:t>
      </w:r>
    </w:p>
    <w:p w14:paraId="5451C31E" w14:textId="49D51A98" w:rsidR="001318CB" w:rsidRPr="00427BFD" w:rsidRDefault="001318CB" w:rsidP="001318CB">
      <w:pPr>
        <w:spacing w:after="200"/>
        <w:jc w:val="both"/>
      </w:pPr>
      <w:r w:rsidRPr="00427BFD">
        <w:t>Na temelju navedenog Sporazuma zaključeni su ugovori o prijenosu potraživanja, prava vlasništva na nekretninama i prijenosu prava vlasništva na dionicama te je određena obveza Hrvatskoj agenciji za osiguranje depozita da nakon prijenosa potraživanja nastavi obavljati poslove upravljanja, evidentiranja i naplate potraživanja, kao mandatni posao, u ime i za račun Ministarstva državne imovine kao nalogodavca. Mandatni poslovi odnose se na obračun kamata i druge potrebne obračune, poslove redovite naplate potraživanja, vođenje propisane knjigovodstvene evidencije, izdavanje dužnicima izvoda otvorenih stavki, po potrebi obavljanje i poduzimanje mjera prisilne naplate potraživanja te poduzimanje drugih aktivnosti i poslova koji su uobičajeni kod evidentiranja, upravljanja i naplate potraživanja.</w:t>
      </w:r>
    </w:p>
    <w:p w14:paraId="06319600" w14:textId="5D25BF23" w:rsidR="004C306A" w:rsidRPr="00427BFD" w:rsidRDefault="00792BA8" w:rsidP="004C306A">
      <w:pPr>
        <w:pStyle w:val="Naslov"/>
        <w:keepNext/>
        <w:rPr>
          <w:b w:val="0"/>
          <w:bCs w:val="0"/>
          <w:color w:val="000000" w:themeColor="text1"/>
        </w:rPr>
      </w:pPr>
      <w:r w:rsidRPr="00427BFD">
        <w:rPr>
          <w:b w:val="0"/>
          <w:bCs w:val="0"/>
          <w:color w:val="000000" w:themeColor="text1"/>
        </w:rPr>
        <w:t xml:space="preserve">Bilješka </w:t>
      </w:r>
      <w:r w:rsidR="006618C2" w:rsidRPr="00427BFD">
        <w:rPr>
          <w:b w:val="0"/>
          <w:bCs w:val="0"/>
          <w:color w:val="000000" w:themeColor="text1"/>
        </w:rPr>
        <w:t>14</w:t>
      </w:r>
      <w:r w:rsidR="004C306A" w:rsidRPr="00427BFD">
        <w:rPr>
          <w:b w:val="0"/>
          <w:bCs w:val="0"/>
          <w:color w:val="000000" w:themeColor="text1"/>
        </w:rPr>
        <w:t>.</w:t>
      </w:r>
    </w:p>
    <w:p w14:paraId="1493559F" w14:textId="4BE39DB2" w:rsidR="00204952" w:rsidRPr="00427BFD" w:rsidRDefault="00316399" w:rsidP="006F5B88">
      <w:pPr>
        <w:pStyle w:val="Naslov"/>
        <w:keepNext/>
        <w:rPr>
          <w:b w:val="0"/>
          <w:bCs w:val="0"/>
          <w:color w:val="000000" w:themeColor="text1"/>
        </w:rPr>
      </w:pPr>
      <w:r w:rsidRPr="00427BFD">
        <w:rPr>
          <w:b w:val="0"/>
          <w:bCs w:val="0"/>
          <w:color w:val="000000" w:themeColor="text1"/>
        </w:rPr>
        <w:t xml:space="preserve">Šifra 642 Prihodi od nefinancijske imovine </w:t>
      </w:r>
    </w:p>
    <w:p w14:paraId="37AE91AC" w14:textId="77777777" w:rsidR="006144F5" w:rsidRPr="00427BFD" w:rsidRDefault="004C306A" w:rsidP="00964511">
      <w:pPr>
        <w:jc w:val="both"/>
      </w:pPr>
      <w:r w:rsidRPr="00427BFD">
        <w:rPr>
          <w:rFonts w:eastAsia="Calibri"/>
          <w:color w:val="000000" w:themeColor="text1"/>
        </w:rPr>
        <w:t>S osnove nakna</w:t>
      </w:r>
      <w:r w:rsidR="00716A50" w:rsidRPr="00427BFD">
        <w:rPr>
          <w:rFonts w:eastAsia="Calibri"/>
          <w:color w:val="000000" w:themeColor="text1"/>
        </w:rPr>
        <w:t>da za koncesije ukupno je u 2022</w:t>
      </w:r>
      <w:r w:rsidRPr="00427BFD">
        <w:rPr>
          <w:rFonts w:eastAsia="Calibri"/>
          <w:color w:val="000000" w:themeColor="text1"/>
        </w:rPr>
        <w:t xml:space="preserve">. </w:t>
      </w:r>
      <w:r w:rsidR="00A27879" w:rsidRPr="00427BFD">
        <w:rPr>
          <w:rFonts w:eastAsia="Calibri"/>
          <w:color w:val="000000" w:themeColor="text1"/>
        </w:rPr>
        <w:t xml:space="preserve">godini </w:t>
      </w:r>
      <w:r w:rsidRPr="00427BFD">
        <w:rPr>
          <w:rFonts w:eastAsia="Calibri"/>
          <w:color w:val="000000" w:themeColor="text1"/>
        </w:rPr>
        <w:t>ostvaren</w:t>
      </w:r>
      <w:r w:rsidR="00A36EA4" w:rsidRPr="00427BFD">
        <w:rPr>
          <w:rFonts w:eastAsia="Calibri"/>
          <w:color w:val="000000" w:themeColor="text1"/>
        </w:rPr>
        <w:t xml:space="preserve">o </w:t>
      </w:r>
      <w:r w:rsidR="00716A50" w:rsidRPr="00427BFD">
        <w:rPr>
          <w:rFonts w:eastAsia="Calibri"/>
          <w:color w:val="000000" w:themeColor="text1"/>
        </w:rPr>
        <w:t>490,8</w:t>
      </w:r>
      <w:r w:rsidRPr="00427BFD">
        <w:rPr>
          <w:rFonts w:eastAsia="Calibri"/>
          <w:color w:val="000000" w:themeColor="text1"/>
        </w:rPr>
        <w:t xml:space="preserve"> milijuna kuna, što je </w:t>
      </w:r>
      <w:r w:rsidR="00716A50" w:rsidRPr="00427BFD">
        <w:rPr>
          <w:rFonts w:eastAsia="Calibri"/>
          <w:color w:val="000000" w:themeColor="text1"/>
        </w:rPr>
        <w:t>82,3</w:t>
      </w:r>
      <w:r w:rsidRPr="00427BFD">
        <w:rPr>
          <w:rFonts w:eastAsia="Calibri"/>
          <w:color w:val="000000" w:themeColor="text1"/>
        </w:rPr>
        <w:t xml:space="preserve">% više u odnosu </w:t>
      </w:r>
      <w:r w:rsidR="00716A50" w:rsidRPr="00427BFD">
        <w:rPr>
          <w:rFonts w:eastAsia="Calibri"/>
          <w:color w:val="000000" w:themeColor="text1"/>
        </w:rPr>
        <w:t>na ostvarene prihode u 2021</w:t>
      </w:r>
      <w:r w:rsidRPr="00427BFD">
        <w:rPr>
          <w:rFonts w:eastAsia="Calibri"/>
          <w:color w:val="000000" w:themeColor="text1"/>
        </w:rPr>
        <w:t xml:space="preserve">. </w:t>
      </w:r>
      <w:r w:rsidR="00964511" w:rsidRPr="00427BFD">
        <w:t xml:space="preserve">Prihodi </w:t>
      </w:r>
      <w:r w:rsidR="00F24A3D" w:rsidRPr="00427BFD">
        <w:t>s osnove naknada od koncesije</w:t>
      </w:r>
      <w:r w:rsidR="00964511" w:rsidRPr="00427BFD">
        <w:t xml:space="preserve"> </w:t>
      </w:r>
      <w:r w:rsidR="00F24A3D" w:rsidRPr="00427BFD">
        <w:t xml:space="preserve">ostvaruju se od </w:t>
      </w:r>
      <w:r w:rsidR="00964511" w:rsidRPr="00427BFD">
        <w:t xml:space="preserve">naknada za eksploataciju plina, naknada za koncesiju za vode za javnu vodoopskrbu, naknada za pridobivenu količinu energetske mineralne sirovine plin, naknada za pridobivenu količinu energetske mineralne sirovine naftu i kondenzat. </w:t>
      </w:r>
      <w:r w:rsidR="00F24A3D" w:rsidRPr="00427BFD">
        <w:rPr>
          <w:rFonts w:eastAsia="Calibri"/>
          <w:color w:val="000000" w:themeColor="text1"/>
        </w:rPr>
        <w:t xml:space="preserve">Navedeni prihodi </w:t>
      </w:r>
      <w:r w:rsidR="00964511" w:rsidRPr="00427BFD">
        <w:rPr>
          <w:rFonts w:eastAsia="Calibri"/>
          <w:color w:val="000000" w:themeColor="text1"/>
        </w:rPr>
        <w:t xml:space="preserve">jednim dijelom </w:t>
      </w:r>
      <w:r w:rsidR="00F24A3D" w:rsidRPr="00427BFD">
        <w:rPr>
          <w:rFonts w:eastAsia="Calibri"/>
          <w:color w:val="000000" w:themeColor="text1"/>
        </w:rPr>
        <w:t xml:space="preserve">su </w:t>
      </w:r>
      <w:r w:rsidR="00964511" w:rsidRPr="00427BFD">
        <w:rPr>
          <w:rFonts w:eastAsia="Calibri"/>
          <w:color w:val="000000" w:themeColor="text1"/>
        </w:rPr>
        <w:t>direktni prihodi državno</w:t>
      </w:r>
      <w:r w:rsidR="00DF3638" w:rsidRPr="00427BFD">
        <w:rPr>
          <w:rFonts w:eastAsia="Calibri"/>
          <w:color w:val="000000" w:themeColor="text1"/>
        </w:rPr>
        <w:t xml:space="preserve">g proračuna, a  jednim dijelom </w:t>
      </w:r>
      <w:r w:rsidR="00964511" w:rsidRPr="00427BFD">
        <w:rPr>
          <w:rFonts w:eastAsia="Calibri"/>
          <w:color w:val="000000" w:themeColor="text1"/>
        </w:rPr>
        <w:t xml:space="preserve">dijele </w:t>
      </w:r>
      <w:r w:rsidR="00DF3638" w:rsidRPr="00427BFD">
        <w:rPr>
          <w:rFonts w:eastAsia="Calibri"/>
          <w:color w:val="000000" w:themeColor="text1"/>
        </w:rPr>
        <w:t xml:space="preserve">se </w:t>
      </w:r>
      <w:r w:rsidR="00964511" w:rsidRPr="00427BFD">
        <w:rPr>
          <w:rFonts w:eastAsia="Calibri"/>
          <w:color w:val="000000" w:themeColor="text1"/>
        </w:rPr>
        <w:t>između državnog, županijskog i općinskog/gradskog proračuna.</w:t>
      </w:r>
      <w:r w:rsidR="00964511" w:rsidRPr="00427BFD">
        <w:t xml:space="preserve"> </w:t>
      </w:r>
    </w:p>
    <w:p w14:paraId="40EBB32A" w14:textId="77777777" w:rsidR="006144F5" w:rsidRPr="00427BFD" w:rsidRDefault="006144F5" w:rsidP="00964511">
      <w:pPr>
        <w:jc w:val="both"/>
      </w:pPr>
    </w:p>
    <w:p w14:paraId="5DE6CBE3" w14:textId="02B4ED5B" w:rsidR="004C306A" w:rsidRPr="00427BFD" w:rsidRDefault="00F24A3D" w:rsidP="00964511">
      <w:pPr>
        <w:jc w:val="both"/>
      </w:pPr>
      <w:r w:rsidRPr="00427BFD">
        <w:t>Na povećanje prihoda s osnove naknada od koncesija u 2022. godini najviše je utjecao prihod s osnove naknada za pridobivenu količinu energetske mineralne sirovine plin. Naime, č</w:t>
      </w:r>
      <w:r w:rsidR="00964511" w:rsidRPr="00427BFD">
        <w:t>lankom 5.b Uredbe o otklanjanju poremećaja na domaćem tržištu energije (Narodne novine, br. 104/22, 106/22, 121/22, 156/22), određena je obveza tvrtki INA- Industrija nafte d.d. radi osiguranja zaliha plina i povećanja raspoloživosti prirodnog plina u Republici Hrvatskoj, a u smislu saniranja posljedica energetske krize izazvane ratom u Ukrajini</w:t>
      </w:r>
      <w:r w:rsidRPr="00427BFD">
        <w:t>,</w:t>
      </w:r>
      <w:r w:rsidR="00964511" w:rsidRPr="00427BFD">
        <w:t xml:space="preserve"> </w:t>
      </w:r>
      <w:r w:rsidRPr="00427BFD">
        <w:t>povećanje proizvodnje</w:t>
      </w:r>
      <w:r w:rsidR="00964511" w:rsidRPr="00427BFD">
        <w:t xml:space="preserve"> plina za 10% u odnosu na planiranu proizvodnju, sukladno tehničkim i tehnološkim  mogućnostima u razdoblju od 1. listopada 2022. do 31. ožujka 2024. Sukladno navedenoj obvezi, tvrtka INA- Industrija nafte d.d. povećala je proizvodnj</w:t>
      </w:r>
      <w:r w:rsidRPr="00427BFD">
        <w:t>u ugljikovodika iz ležišta u RH</w:t>
      </w:r>
      <w:r w:rsidR="00964511" w:rsidRPr="00427BFD">
        <w:t xml:space="preserve"> te je stoga došlo i do povećanja prihoda</w:t>
      </w:r>
      <w:r w:rsidR="00475783">
        <w:t xml:space="preserve"> s osnove naknada za koncesije</w:t>
      </w:r>
      <w:r w:rsidR="00964511" w:rsidRPr="00427BFD">
        <w:t>.</w:t>
      </w:r>
    </w:p>
    <w:p w14:paraId="67BAA665" w14:textId="77777777" w:rsidR="00F4732E" w:rsidRPr="00427BFD" w:rsidRDefault="00F4732E" w:rsidP="004C306A">
      <w:pPr>
        <w:jc w:val="both"/>
        <w:rPr>
          <w:rFonts w:eastAsia="Calibri"/>
          <w:color w:val="000000" w:themeColor="text1"/>
        </w:rPr>
      </w:pPr>
    </w:p>
    <w:p w14:paraId="19B2B9FB" w14:textId="10222780" w:rsidR="00866431" w:rsidRPr="00427BFD" w:rsidRDefault="00866431" w:rsidP="00547206">
      <w:pPr>
        <w:jc w:val="both"/>
        <w:rPr>
          <w:rFonts w:eastAsia="Calibri"/>
        </w:rPr>
      </w:pPr>
      <w:r w:rsidRPr="00427BFD">
        <w:rPr>
          <w:rFonts w:eastAsia="Calibri"/>
        </w:rPr>
        <w:t>Prihodi od naknada za korište</w:t>
      </w:r>
      <w:r w:rsidR="000003A0" w:rsidRPr="00427BFD">
        <w:rPr>
          <w:rFonts w:eastAsia="Calibri"/>
        </w:rPr>
        <w:t>nje nefinancijske imovine u 2022</w:t>
      </w:r>
      <w:r w:rsidRPr="00427BFD">
        <w:rPr>
          <w:rFonts w:eastAsia="Calibri"/>
        </w:rPr>
        <w:t xml:space="preserve">. godini su ostvareni u iznosu od </w:t>
      </w:r>
      <w:r w:rsidR="000003A0" w:rsidRPr="00427BFD">
        <w:rPr>
          <w:rFonts w:eastAsia="Calibri"/>
        </w:rPr>
        <w:t>169.712.306,35</w:t>
      </w:r>
      <w:r w:rsidRPr="00427BFD">
        <w:rPr>
          <w:rFonts w:eastAsia="Calibri"/>
        </w:rPr>
        <w:t xml:space="preserve"> kuna, odnosu </w:t>
      </w:r>
      <w:r w:rsidR="000003A0" w:rsidRPr="00427BFD">
        <w:rPr>
          <w:rFonts w:eastAsia="Calibri"/>
        </w:rPr>
        <w:t>manji</w:t>
      </w:r>
      <w:r w:rsidRPr="00427BFD">
        <w:rPr>
          <w:rFonts w:eastAsia="Calibri"/>
        </w:rPr>
        <w:t xml:space="preserve"> su za </w:t>
      </w:r>
      <w:r w:rsidR="000003A0" w:rsidRPr="00427BFD">
        <w:rPr>
          <w:rFonts w:eastAsia="Calibri"/>
        </w:rPr>
        <w:t>57,4</w:t>
      </w:r>
      <w:r w:rsidRPr="00427BFD">
        <w:rPr>
          <w:rFonts w:eastAsia="Calibri"/>
        </w:rPr>
        <w:t>% u odnosu na ostvarenje u 202</w:t>
      </w:r>
      <w:r w:rsidR="000003A0" w:rsidRPr="00427BFD">
        <w:rPr>
          <w:rFonts w:eastAsia="Calibri"/>
        </w:rPr>
        <w:t>1</w:t>
      </w:r>
      <w:r w:rsidRPr="00427BFD">
        <w:rPr>
          <w:rFonts w:eastAsia="Calibri"/>
        </w:rPr>
        <w:t xml:space="preserve">. godini. </w:t>
      </w:r>
      <w:r w:rsidR="00EA4B51" w:rsidRPr="00427BFD">
        <w:rPr>
          <w:rFonts w:eastAsia="Calibri"/>
        </w:rPr>
        <w:t xml:space="preserve">Ostvareni </w:t>
      </w:r>
      <w:r w:rsidR="00EA4B51" w:rsidRPr="00427BFD">
        <w:rPr>
          <w:rFonts w:eastAsia="Calibri"/>
        </w:rPr>
        <w:lastRenderedPageBreak/>
        <w:t xml:space="preserve">prihodi odnose se na naknade za eksploataciju mineralnih sirovina na zemljištu u vlasništvu </w:t>
      </w:r>
      <w:r w:rsidRPr="00427BFD">
        <w:rPr>
          <w:rFonts w:eastAsia="Calibri"/>
        </w:rPr>
        <w:t>R</w:t>
      </w:r>
      <w:r w:rsidR="00EA4B51" w:rsidRPr="00427BFD">
        <w:rPr>
          <w:rFonts w:eastAsia="Calibri"/>
        </w:rPr>
        <w:t xml:space="preserve">epublike </w:t>
      </w:r>
      <w:r w:rsidRPr="00427BFD">
        <w:rPr>
          <w:rFonts w:eastAsia="Calibri"/>
        </w:rPr>
        <w:t>H</w:t>
      </w:r>
      <w:r w:rsidR="00EA4B51" w:rsidRPr="00427BFD">
        <w:rPr>
          <w:rFonts w:eastAsia="Calibri"/>
        </w:rPr>
        <w:t xml:space="preserve">rvatske te na </w:t>
      </w:r>
      <w:proofErr w:type="spellStart"/>
      <w:r w:rsidR="00EA4B51" w:rsidRPr="00427BFD">
        <w:rPr>
          <w:rFonts w:eastAsia="Calibri"/>
        </w:rPr>
        <w:t>lovozakupnine</w:t>
      </w:r>
      <w:proofErr w:type="spellEnd"/>
      <w:r w:rsidR="00EA4B51" w:rsidRPr="00427BFD">
        <w:rPr>
          <w:rFonts w:eastAsia="Calibri"/>
        </w:rPr>
        <w:t>.</w:t>
      </w:r>
    </w:p>
    <w:p w14:paraId="1EADF75A" w14:textId="2EACC1DC" w:rsidR="00316399" w:rsidRPr="00427BFD" w:rsidRDefault="00316399" w:rsidP="00547206">
      <w:pPr>
        <w:jc w:val="both"/>
        <w:rPr>
          <w:rFonts w:eastAsia="Calibri"/>
        </w:rPr>
      </w:pPr>
    </w:p>
    <w:p w14:paraId="25FBC3A8" w14:textId="306E760A" w:rsidR="005B7FAD" w:rsidRPr="008D78CD" w:rsidRDefault="00316399" w:rsidP="008D78CD">
      <w:pPr>
        <w:pStyle w:val="Naslov"/>
        <w:keepNext/>
        <w:jc w:val="both"/>
        <w:rPr>
          <w:b w:val="0"/>
          <w:bCs w:val="0"/>
          <w:color w:val="000000" w:themeColor="text1"/>
          <w:sz w:val="24"/>
        </w:rPr>
      </w:pPr>
      <w:r w:rsidRPr="00427BFD">
        <w:rPr>
          <w:b w:val="0"/>
          <w:bCs w:val="0"/>
          <w:color w:val="000000" w:themeColor="text1"/>
          <w:sz w:val="24"/>
        </w:rPr>
        <w:t xml:space="preserve">U razdoblju od 1. siječnja do 31. prosinca 2022. </w:t>
      </w:r>
      <w:r w:rsidRPr="00427BFD">
        <w:rPr>
          <w:b w:val="0"/>
          <w:bCs w:val="0"/>
          <w:sz w:val="24"/>
        </w:rPr>
        <w:t>godine</w:t>
      </w:r>
      <w:r w:rsidRPr="00427BFD">
        <w:rPr>
          <w:b w:val="0"/>
          <w:bCs w:val="0"/>
          <w:color w:val="000000" w:themeColor="text1"/>
          <w:sz w:val="24"/>
        </w:rPr>
        <w:t xml:space="preserve"> evidentirano je ostvarenje ostalih prihoda od nefinancijske imovine u iznosu od 1.216.308,31 kuna, dok je u istom razdoblju prethodne godine evidentirano 8.431.877,00 kuna ostalih prihoda od nefinancijske imovine, odnosno 85,6 % manje u odnosu na prethodnu godinu. </w:t>
      </w:r>
      <w:r w:rsidR="009C20CC" w:rsidRPr="00427BFD">
        <w:rPr>
          <w:b w:val="0"/>
          <w:bCs w:val="0"/>
          <w:color w:val="000000" w:themeColor="text1"/>
          <w:sz w:val="24"/>
        </w:rPr>
        <w:t>Razlog značajnog smanjenja proizlazi iz toga što je</w:t>
      </w:r>
      <w:r w:rsidRPr="00427BFD">
        <w:rPr>
          <w:b w:val="0"/>
          <w:bCs w:val="0"/>
          <w:color w:val="000000" w:themeColor="text1"/>
          <w:sz w:val="24"/>
        </w:rPr>
        <w:t xml:space="preserve"> u 2021. godini ostvareno 6.586.120,00 kuna prihoda od provizije za preprodaju podataka iz DATA ROOM-a temeljem Master </w:t>
      </w:r>
      <w:proofErr w:type="spellStart"/>
      <w:r w:rsidRPr="00427BFD">
        <w:rPr>
          <w:b w:val="0"/>
          <w:bCs w:val="0"/>
          <w:color w:val="000000" w:themeColor="text1"/>
          <w:sz w:val="24"/>
        </w:rPr>
        <w:t>Agreementa</w:t>
      </w:r>
      <w:proofErr w:type="spellEnd"/>
      <w:r w:rsidRPr="00427BFD">
        <w:rPr>
          <w:b w:val="0"/>
          <w:bCs w:val="0"/>
          <w:color w:val="000000" w:themeColor="text1"/>
          <w:sz w:val="24"/>
        </w:rPr>
        <w:t xml:space="preserve"> između Ministarstva gospodarstva i održivog razvoja i kompanije </w:t>
      </w:r>
      <w:proofErr w:type="spellStart"/>
      <w:r w:rsidRPr="00427BFD">
        <w:rPr>
          <w:b w:val="0"/>
          <w:bCs w:val="0"/>
          <w:color w:val="000000" w:themeColor="text1"/>
          <w:sz w:val="24"/>
        </w:rPr>
        <w:t>Spectrum</w:t>
      </w:r>
      <w:proofErr w:type="spellEnd"/>
      <w:r w:rsidRPr="00427BFD">
        <w:rPr>
          <w:b w:val="0"/>
          <w:bCs w:val="0"/>
          <w:color w:val="000000" w:themeColor="text1"/>
          <w:sz w:val="24"/>
        </w:rPr>
        <w:t xml:space="preserve"> GRO </w:t>
      </w:r>
      <w:proofErr w:type="spellStart"/>
      <w:r w:rsidRPr="00427BFD">
        <w:rPr>
          <w:b w:val="0"/>
          <w:bCs w:val="0"/>
          <w:color w:val="000000" w:themeColor="text1"/>
          <w:sz w:val="24"/>
        </w:rPr>
        <w:t>Limited</w:t>
      </w:r>
      <w:proofErr w:type="spellEnd"/>
      <w:r w:rsidRPr="00427BFD">
        <w:rPr>
          <w:b w:val="0"/>
          <w:bCs w:val="0"/>
          <w:color w:val="000000" w:themeColor="text1"/>
          <w:sz w:val="24"/>
        </w:rPr>
        <w:t>, koji je navedena kompanija uplatila u državni proračun u veljači 2021. godine.</w:t>
      </w:r>
    </w:p>
    <w:p w14:paraId="3A16FC8E" w14:textId="77777777" w:rsidR="005B7FAD" w:rsidRPr="00427BFD" w:rsidRDefault="005B7FAD" w:rsidP="00AA5F2B">
      <w:pPr>
        <w:rPr>
          <w:rFonts w:eastAsia="Calibri"/>
        </w:rPr>
      </w:pPr>
    </w:p>
    <w:p w14:paraId="59691AE1" w14:textId="2EBA2E0E" w:rsidR="005B7FAD" w:rsidRPr="00427BFD" w:rsidRDefault="00792BA8" w:rsidP="005B7FAD">
      <w:pPr>
        <w:pStyle w:val="Naslov"/>
        <w:keepNext/>
        <w:rPr>
          <w:b w:val="0"/>
          <w:bCs w:val="0"/>
        </w:rPr>
      </w:pPr>
      <w:r w:rsidRPr="00427BFD">
        <w:rPr>
          <w:b w:val="0"/>
          <w:bCs w:val="0"/>
        </w:rPr>
        <w:t xml:space="preserve">Bilješka </w:t>
      </w:r>
      <w:r w:rsidR="006618C2" w:rsidRPr="00427BFD">
        <w:rPr>
          <w:b w:val="0"/>
          <w:bCs w:val="0"/>
        </w:rPr>
        <w:t>15</w:t>
      </w:r>
      <w:r w:rsidR="005B7FAD" w:rsidRPr="00427BFD">
        <w:rPr>
          <w:b w:val="0"/>
          <w:bCs w:val="0"/>
        </w:rPr>
        <w:t>.</w:t>
      </w:r>
    </w:p>
    <w:p w14:paraId="159E9E33" w14:textId="2116E01D" w:rsidR="005B7FAD" w:rsidRPr="00427BFD" w:rsidRDefault="00464A05" w:rsidP="00F3171F">
      <w:pPr>
        <w:pStyle w:val="Naslov"/>
        <w:keepNext/>
        <w:rPr>
          <w:b w:val="0"/>
          <w:bCs w:val="0"/>
        </w:rPr>
      </w:pPr>
      <w:r w:rsidRPr="00427BFD">
        <w:rPr>
          <w:b w:val="0"/>
          <w:bCs w:val="0"/>
        </w:rPr>
        <w:t xml:space="preserve">Šifra 6434 </w:t>
      </w:r>
      <w:r w:rsidR="005B7FAD" w:rsidRPr="00427BFD">
        <w:rPr>
          <w:b w:val="0"/>
          <w:bCs w:val="0"/>
        </w:rPr>
        <w:t>Prihodi od kamata na dane zajmove trgovačkim društvima u javnom sektoru</w:t>
      </w:r>
    </w:p>
    <w:p w14:paraId="748EF12A" w14:textId="77777777" w:rsidR="00C47688" w:rsidRPr="00427BFD" w:rsidRDefault="00C47688" w:rsidP="00A16065">
      <w:pPr>
        <w:shd w:val="clear" w:color="auto" w:fill="FFFFFF"/>
        <w:jc w:val="both"/>
        <w:rPr>
          <w:color w:val="000000"/>
        </w:rPr>
      </w:pPr>
    </w:p>
    <w:p w14:paraId="495CCFFF" w14:textId="101868A1" w:rsidR="00F0132D" w:rsidRPr="00427BFD" w:rsidRDefault="005B7FAD" w:rsidP="00A16065">
      <w:pPr>
        <w:shd w:val="clear" w:color="auto" w:fill="FFFFFF"/>
        <w:jc w:val="both"/>
        <w:rPr>
          <w:color w:val="000000"/>
        </w:rPr>
      </w:pPr>
      <w:r w:rsidRPr="00427BFD">
        <w:rPr>
          <w:color w:val="000000"/>
        </w:rPr>
        <w:t>Prihodi od kamata na dane zajmove trgovačkim d</w:t>
      </w:r>
      <w:r w:rsidR="004A1850" w:rsidRPr="00427BFD">
        <w:rPr>
          <w:color w:val="000000"/>
        </w:rPr>
        <w:t>ruštvima u javnom sektoru u 2022</w:t>
      </w:r>
      <w:r w:rsidRPr="00427BFD">
        <w:rPr>
          <w:color w:val="000000"/>
        </w:rPr>
        <w:t>. ostvareni su u iznosu od</w:t>
      </w:r>
      <w:r w:rsidR="004375DD" w:rsidRPr="00427BFD">
        <w:rPr>
          <w:color w:val="000000"/>
        </w:rPr>
        <w:t xml:space="preserve"> 15.946.235,79 kuna što je 8,6 % više u odnosu na prihode ostvarene 2021. godine. </w:t>
      </w:r>
    </w:p>
    <w:p w14:paraId="1372A782" w14:textId="24F60BD8" w:rsidR="00A34822" w:rsidRPr="00427BFD" w:rsidRDefault="00A34822" w:rsidP="00A16065">
      <w:pPr>
        <w:shd w:val="clear" w:color="auto" w:fill="FFFFFF"/>
        <w:jc w:val="both"/>
        <w:rPr>
          <w:color w:val="000000"/>
        </w:rPr>
      </w:pPr>
    </w:p>
    <w:p w14:paraId="5D8B7D6F" w14:textId="536D8840" w:rsidR="00A34822" w:rsidRPr="00427BFD" w:rsidRDefault="00A34822" w:rsidP="00A34822">
      <w:pPr>
        <w:jc w:val="both"/>
      </w:pPr>
      <w:r w:rsidRPr="00427BFD">
        <w:t>U 2022. godini u okviru ovih prihoda ostvareno je 13.687.500,00 kuna temeljem Ugovora o zajmu broj: 1/2020 kojeg su 26. lipnja 2020. sklopili Republika Hrvatska - Ministarstvo financija i Hrvatska banka za obnovu i razvitak</w:t>
      </w:r>
      <w:r w:rsidR="00475783">
        <w:t xml:space="preserve"> (dalje u tekstu: HBOR)</w:t>
      </w:r>
      <w:r w:rsidRPr="00427BFD">
        <w:t xml:space="preserve"> radi ublažavanja negativnih posljedica epidemije </w:t>
      </w:r>
      <w:proofErr w:type="spellStart"/>
      <w:r w:rsidRPr="00427BFD">
        <w:t>koronavirusa</w:t>
      </w:r>
      <w:proofErr w:type="spellEnd"/>
      <w:r w:rsidRPr="00427BFD">
        <w:t xml:space="preserve"> i provođenja mjera za očuvanje razine gospodarske aktivnosti, likvidnosti gospodarskih subjekata te očuvanja radnih mjesta radi ublažavanja negativnih posljedica epidemije </w:t>
      </w:r>
      <w:proofErr w:type="spellStart"/>
      <w:r w:rsidRPr="00427BFD">
        <w:t>koronavirusa</w:t>
      </w:r>
      <w:proofErr w:type="spellEnd"/>
      <w:r w:rsidRPr="00427BFD">
        <w:t xml:space="preserve"> i provođenja mjera za očuvanje razine gospodarske aktivnosti, likvidnosti gospodarskih subjekata te očuvanja radnih mjesta.</w:t>
      </w:r>
    </w:p>
    <w:p w14:paraId="4B57F68C" w14:textId="77777777" w:rsidR="00A34822" w:rsidRPr="00427BFD" w:rsidRDefault="00A34822" w:rsidP="00A34822"/>
    <w:p w14:paraId="089A2FEE" w14:textId="77777777" w:rsidR="00A34822" w:rsidRPr="00427BFD" w:rsidRDefault="00A34822" w:rsidP="00A34822">
      <w:pPr>
        <w:jc w:val="both"/>
      </w:pPr>
      <w:r w:rsidRPr="00427BFD">
        <w:t xml:space="preserve">Također evidentirani su prihodi ostvareni u iznosu od 249.285,12 kuna, a koji se odnose na kamate iz Ugovora o zajmu kojeg su 23. prosinca 2020. godine sklopili Republika Hrvatska, Ministarstvo mora, prometa i infrastrukture i HŽ </w:t>
      </w:r>
      <w:proofErr w:type="spellStart"/>
      <w:r w:rsidRPr="00427BFD">
        <w:t>Cargo</w:t>
      </w:r>
      <w:proofErr w:type="spellEnd"/>
      <w:r w:rsidRPr="00427BFD">
        <w:t xml:space="preserve"> </w:t>
      </w:r>
      <w:proofErr w:type="spellStart"/>
      <w:r w:rsidRPr="00427BFD">
        <w:t>d.o.o</w:t>
      </w:r>
      <w:proofErr w:type="spellEnd"/>
      <w:r w:rsidRPr="00427BFD">
        <w:t xml:space="preserve"> temeljem Odluke Vlade Republike Hrvatske o odobrenju državne potpore za sanaciju društva HŽ </w:t>
      </w:r>
      <w:proofErr w:type="spellStart"/>
      <w:r w:rsidRPr="00427BFD">
        <w:t>Cargo</w:t>
      </w:r>
      <w:proofErr w:type="spellEnd"/>
      <w:r w:rsidRPr="00427BFD">
        <w:t xml:space="preserve"> d.o.o. Ugovorom je određena redovna kamata u visini od 1% godišnje, a obračunata je za razdoblje od dana korištenja zajma do isteka roka dospijeća zajma.</w:t>
      </w:r>
    </w:p>
    <w:p w14:paraId="0E312063" w14:textId="117225FB" w:rsidR="00A34822" w:rsidRPr="00427BFD" w:rsidRDefault="00A34822" w:rsidP="00A16065">
      <w:pPr>
        <w:shd w:val="clear" w:color="auto" w:fill="FFFFFF"/>
        <w:jc w:val="both"/>
        <w:rPr>
          <w:color w:val="000000"/>
        </w:rPr>
      </w:pPr>
    </w:p>
    <w:p w14:paraId="6327BE70" w14:textId="58A9ECD6" w:rsidR="00464A05" w:rsidRPr="00427BFD" w:rsidRDefault="00792BA8" w:rsidP="00464A05">
      <w:pPr>
        <w:pStyle w:val="Naslov"/>
        <w:keepNext/>
        <w:rPr>
          <w:b w:val="0"/>
          <w:bCs w:val="0"/>
        </w:rPr>
      </w:pPr>
      <w:r w:rsidRPr="00427BFD">
        <w:rPr>
          <w:b w:val="0"/>
          <w:bCs w:val="0"/>
        </w:rPr>
        <w:t xml:space="preserve">Bilješka </w:t>
      </w:r>
      <w:r w:rsidR="006618C2" w:rsidRPr="00427BFD">
        <w:rPr>
          <w:b w:val="0"/>
          <w:bCs w:val="0"/>
        </w:rPr>
        <w:t>16</w:t>
      </w:r>
      <w:r w:rsidR="00464A05" w:rsidRPr="00427BFD">
        <w:rPr>
          <w:b w:val="0"/>
          <w:bCs w:val="0"/>
        </w:rPr>
        <w:t>.</w:t>
      </w:r>
    </w:p>
    <w:p w14:paraId="724C3BCD" w14:textId="16F87878" w:rsidR="00A34822" w:rsidRPr="00427BFD" w:rsidRDefault="00464A05" w:rsidP="00A34822">
      <w:pPr>
        <w:shd w:val="clear" w:color="auto" w:fill="FFFFFF"/>
        <w:jc w:val="center"/>
        <w:rPr>
          <w:sz w:val="28"/>
        </w:rPr>
      </w:pPr>
      <w:r w:rsidRPr="00427BFD">
        <w:rPr>
          <w:sz w:val="28"/>
        </w:rPr>
        <w:t xml:space="preserve">Šifra 6436 </w:t>
      </w:r>
      <w:r w:rsidR="00A34822" w:rsidRPr="00427BFD">
        <w:rPr>
          <w:sz w:val="28"/>
        </w:rPr>
        <w:t>Prihodi od kamata na dane zajmove trgovačkim društvima i obrtnicima izvan javnog sektora</w:t>
      </w:r>
    </w:p>
    <w:p w14:paraId="69737ED1" w14:textId="77777777" w:rsidR="00A34822" w:rsidRPr="00427BFD" w:rsidRDefault="00A34822" w:rsidP="00A16065">
      <w:pPr>
        <w:shd w:val="clear" w:color="auto" w:fill="FFFFFF"/>
        <w:jc w:val="both"/>
        <w:rPr>
          <w:color w:val="000000"/>
        </w:rPr>
      </w:pPr>
    </w:p>
    <w:p w14:paraId="52990708" w14:textId="77777777" w:rsidR="00AD689C" w:rsidRPr="00427BFD" w:rsidRDefault="00F0132D" w:rsidP="004375DD">
      <w:pPr>
        <w:shd w:val="clear" w:color="auto" w:fill="FFFFFF"/>
        <w:jc w:val="both"/>
        <w:rPr>
          <w:color w:val="212121"/>
        </w:rPr>
      </w:pPr>
      <w:r w:rsidRPr="00427BFD">
        <w:rPr>
          <w:color w:val="212121"/>
        </w:rPr>
        <w:t>Prihodi od kamata na dane zajmove trgovačkim društvima i obrtnicima izvan javnog sektora u 20</w:t>
      </w:r>
      <w:r w:rsidR="002366BE" w:rsidRPr="00427BFD">
        <w:rPr>
          <w:color w:val="212121"/>
        </w:rPr>
        <w:t>2</w:t>
      </w:r>
      <w:r w:rsidR="004375DD" w:rsidRPr="00427BFD">
        <w:rPr>
          <w:color w:val="212121"/>
        </w:rPr>
        <w:t>2</w:t>
      </w:r>
      <w:r w:rsidRPr="00427BFD">
        <w:rPr>
          <w:color w:val="212121"/>
        </w:rPr>
        <w:t xml:space="preserve">. godini </w:t>
      </w:r>
      <w:r w:rsidR="004375DD" w:rsidRPr="00427BFD">
        <w:rPr>
          <w:color w:val="212121"/>
        </w:rPr>
        <w:t xml:space="preserve">2.417.919,43 kuna odnosno 21,6 % manje u odnosu na 2021. </w:t>
      </w:r>
    </w:p>
    <w:p w14:paraId="74A8F404" w14:textId="77777777" w:rsidR="00AD689C" w:rsidRPr="00427BFD" w:rsidRDefault="00AD689C" w:rsidP="004375DD">
      <w:pPr>
        <w:shd w:val="clear" w:color="auto" w:fill="FFFFFF"/>
        <w:jc w:val="both"/>
        <w:rPr>
          <w:color w:val="212121"/>
        </w:rPr>
      </w:pPr>
    </w:p>
    <w:p w14:paraId="07CCA700" w14:textId="043F5E1A" w:rsidR="004375DD" w:rsidRPr="008D78CD" w:rsidRDefault="004375DD" w:rsidP="008D78CD">
      <w:pPr>
        <w:shd w:val="clear" w:color="auto" w:fill="FFFFFF"/>
        <w:jc w:val="both"/>
        <w:rPr>
          <w:color w:val="000000"/>
        </w:rPr>
      </w:pPr>
      <w:r w:rsidRPr="00427BFD">
        <w:rPr>
          <w:color w:val="000000" w:themeColor="text1"/>
        </w:rPr>
        <w:t xml:space="preserve">Prihodi u oba promatrana razdoblja najvećim se dijelom odnose na uplate kamate od strane društva </w:t>
      </w:r>
      <w:proofErr w:type="spellStart"/>
      <w:r w:rsidRPr="00427BFD">
        <w:rPr>
          <w:color w:val="000000" w:themeColor="text1"/>
        </w:rPr>
        <w:t>Alpha</w:t>
      </w:r>
      <w:proofErr w:type="spellEnd"/>
      <w:r w:rsidRPr="00427BFD">
        <w:rPr>
          <w:color w:val="000000" w:themeColor="text1"/>
        </w:rPr>
        <w:t xml:space="preserve"> Adriatic d.d. (ranije Uljanik plovidba d.d.). U </w:t>
      </w:r>
      <w:proofErr w:type="spellStart"/>
      <w:r w:rsidRPr="00427BFD">
        <w:rPr>
          <w:color w:val="000000" w:themeColor="text1"/>
        </w:rPr>
        <w:t>predstečajnom</w:t>
      </w:r>
      <w:proofErr w:type="spellEnd"/>
      <w:r w:rsidRPr="00427BFD">
        <w:rPr>
          <w:color w:val="000000" w:themeColor="text1"/>
        </w:rPr>
        <w:t xml:space="preserve"> postupku društva </w:t>
      </w:r>
      <w:proofErr w:type="spellStart"/>
      <w:r w:rsidRPr="00427BFD">
        <w:rPr>
          <w:color w:val="000000" w:themeColor="text1"/>
        </w:rPr>
        <w:t>Alpha</w:t>
      </w:r>
      <w:proofErr w:type="spellEnd"/>
      <w:r w:rsidRPr="00427BFD">
        <w:rPr>
          <w:color w:val="000000" w:themeColor="text1"/>
        </w:rPr>
        <w:t xml:space="preserve"> Adriatic d.d., Ministarstvu financija priznata je tražbina na ime provizije za izdano državno jamstvo, koju je dužnik sukladno planu namirenja uvećano za redovnu kamatu od 4,5% obvezan vratiti u državni proračun. U </w:t>
      </w:r>
      <w:proofErr w:type="spellStart"/>
      <w:r w:rsidRPr="00427BFD">
        <w:rPr>
          <w:color w:val="000000" w:themeColor="text1"/>
        </w:rPr>
        <w:t>predstečajnom</w:t>
      </w:r>
      <w:proofErr w:type="spellEnd"/>
      <w:r w:rsidRPr="00427BFD">
        <w:rPr>
          <w:color w:val="000000" w:themeColor="text1"/>
        </w:rPr>
        <w:t xml:space="preserve"> postupku se cjelokupna tražbina Ministarstva financija na ime protestiranog jamstva, uvećano za zateznu kamatu do otvaranja </w:t>
      </w:r>
      <w:proofErr w:type="spellStart"/>
      <w:r w:rsidRPr="00427BFD">
        <w:rPr>
          <w:color w:val="000000" w:themeColor="text1"/>
        </w:rPr>
        <w:t>predstečaja</w:t>
      </w:r>
      <w:proofErr w:type="spellEnd"/>
      <w:r w:rsidRPr="00427BFD">
        <w:rPr>
          <w:color w:val="000000" w:themeColor="text1"/>
        </w:rPr>
        <w:t>, i tražbina na ime provizije, reprogramira uz redovnu kamatu od 4,5%.</w:t>
      </w:r>
    </w:p>
    <w:p w14:paraId="521C7394" w14:textId="77777777" w:rsidR="004375DD" w:rsidRPr="00427BFD" w:rsidRDefault="004375DD" w:rsidP="004375DD">
      <w:pPr>
        <w:pStyle w:val="xmsonormal"/>
        <w:shd w:val="clear" w:color="auto" w:fill="FFFFFF"/>
        <w:spacing w:before="0" w:beforeAutospacing="0" w:after="0" w:afterAutospacing="0"/>
        <w:jc w:val="both"/>
        <w:rPr>
          <w:color w:val="212121"/>
        </w:rPr>
      </w:pPr>
    </w:p>
    <w:p w14:paraId="598FC618" w14:textId="55998757" w:rsidR="00464A05" w:rsidRPr="00427BFD" w:rsidRDefault="00792BA8" w:rsidP="00464A05">
      <w:pPr>
        <w:pStyle w:val="Naslov"/>
        <w:keepNext/>
        <w:rPr>
          <w:b w:val="0"/>
          <w:bCs w:val="0"/>
        </w:rPr>
      </w:pPr>
      <w:r w:rsidRPr="00427BFD">
        <w:rPr>
          <w:b w:val="0"/>
          <w:bCs w:val="0"/>
        </w:rPr>
        <w:lastRenderedPageBreak/>
        <w:t xml:space="preserve">Bilješka </w:t>
      </w:r>
      <w:r w:rsidR="006618C2" w:rsidRPr="00427BFD">
        <w:rPr>
          <w:b w:val="0"/>
          <w:bCs w:val="0"/>
        </w:rPr>
        <w:t>17</w:t>
      </w:r>
      <w:r w:rsidR="00464A05" w:rsidRPr="00427BFD">
        <w:rPr>
          <w:b w:val="0"/>
          <w:bCs w:val="0"/>
        </w:rPr>
        <w:t>.</w:t>
      </w:r>
    </w:p>
    <w:p w14:paraId="0643E819" w14:textId="645D5135" w:rsidR="004375DD" w:rsidRPr="00427BFD" w:rsidRDefault="00464A05" w:rsidP="00464A05">
      <w:pPr>
        <w:pStyle w:val="Naslov"/>
        <w:keepNext/>
        <w:rPr>
          <w:b w:val="0"/>
          <w:bCs w:val="0"/>
        </w:rPr>
      </w:pPr>
      <w:r w:rsidRPr="00427BFD">
        <w:rPr>
          <w:b w:val="0"/>
          <w:bCs w:val="0"/>
        </w:rPr>
        <w:t xml:space="preserve">Šifra 6437 </w:t>
      </w:r>
      <w:r w:rsidR="00A34822" w:rsidRPr="00427BFD">
        <w:rPr>
          <w:b w:val="0"/>
          <w:bCs w:val="0"/>
        </w:rPr>
        <w:t>Prihodi od kamata na dane zajmove drugim razinama vlasti</w:t>
      </w:r>
    </w:p>
    <w:p w14:paraId="55D21CC2" w14:textId="77777777" w:rsidR="00AD689C" w:rsidRPr="00427BFD" w:rsidRDefault="00A6677E" w:rsidP="004375DD">
      <w:pPr>
        <w:pStyle w:val="xmsonormal"/>
        <w:shd w:val="clear" w:color="auto" w:fill="FFFFFF"/>
        <w:spacing w:before="0" w:beforeAutospacing="0" w:after="0" w:afterAutospacing="0"/>
        <w:jc w:val="both"/>
        <w:rPr>
          <w:color w:val="212121"/>
        </w:rPr>
      </w:pPr>
      <w:r w:rsidRPr="00427BFD">
        <w:rPr>
          <w:color w:val="212121"/>
        </w:rPr>
        <w:t>U 2022</w:t>
      </w:r>
      <w:r w:rsidR="00BA7210" w:rsidRPr="00427BFD">
        <w:rPr>
          <w:color w:val="212121"/>
        </w:rPr>
        <w:t xml:space="preserve">. godini prihodi od kamata na dane zajmove drugim razinama vlasti ostvareni su u iznosu </w:t>
      </w:r>
      <w:r w:rsidR="004375DD" w:rsidRPr="00427BFD">
        <w:rPr>
          <w:color w:val="212121"/>
        </w:rPr>
        <w:t>115.532.613,22</w:t>
      </w:r>
      <w:r w:rsidR="00BA7210" w:rsidRPr="00427BFD">
        <w:rPr>
          <w:color w:val="212121"/>
        </w:rPr>
        <w:t xml:space="preserve"> kuna odnosno za </w:t>
      </w:r>
      <w:r w:rsidR="004375DD" w:rsidRPr="00427BFD">
        <w:rPr>
          <w:color w:val="212121"/>
        </w:rPr>
        <w:t xml:space="preserve">1,5 </w:t>
      </w:r>
      <w:r w:rsidR="00BA7210" w:rsidRPr="00427BFD">
        <w:rPr>
          <w:color w:val="212121"/>
        </w:rPr>
        <w:t>% m</w:t>
      </w:r>
      <w:r w:rsidR="004375DD" w:rsidRPr="00427BFD">
        <w:rPr>
          <w:color w:val="212121"/>
        </w:rPr>
        <w:t>anje u odnosu na ostvarenje 2021</w:t>
      </w:r>
      <w:r w:rsidR="00BA7210" w:rsidRPr="00427BFD">
        <w:rPr>
          <w:color w:val="212121"/>
        </w:rPr>
        <w:t xml:space="preserve">. godine. </w:t>
      </w:r>
    </w:p>
    <w:p w14:paraId="2CC713A9" w14:textId="77777777" w:rsidR="00AD689C" w:rsidRPr="00427BFD" w:rsidRDefault="00AD689C" w:rsidP="004375DD">
      <w:pPr>
        <w:pStyle w:val="xmsonormal"/>
        <w:shd w:val="clear" w:color="auto" w:fill="FFFFFF"/>
        <w:spacing w:before="0" w:beforeAutospacing="0" w:after="0" w:afterAutospacing="0"/>
        <w:jc w:val="both"/>
        <w:rPr>
          <w:color w:val="212121"/>
        </w:rPr>
      </w:pPr>
    </w:p>
    <w:p w14:paraId="3AE87115" w14:textId="7292FAD2" w:rsidR="00F0132D" w:rsidRPr="00427BFD" w:rsidRDefault="004616E5" w:rsidP="004375DD">
      <w:pPr>
        <w:pStyle w:val="xmsonormal"/>
        <w:shd w:val="clear" w:color="auto" w:fill="FFFFFF"/>
        <w:spacing w:before="0" w:beforeAutospacing="0" w:after="0" w:afterAutospacing="0"/>
        <w:jc w:val="both"/>
        <w:rPr>
          <w:color w:val="212121"/>
        </w:rPr>
      </w:pPr>
      <w:r w:rsidRPr="00427BFD">
        <w:rPr>
          <w:color w:val="212121"/>
        </w:rPr>
        <w:t>Od ukupnog iznosa 107.007.181,68 kuna prihoda ostvareno je od uplate</w:t>
      </w:r>
      <w:r w:rsidR="00B20C27" w:rsidRPr="00427BFD">
        <w:rPr>
          <w:color w:val="212121"/>
        </w:rPr>
        <w:t xml:space="preserve"> Hrvatskih cesta vezano uz</w:t>
      </w:r>
      <w:r w:rsidR="00BA7210" w:rsidRPr="00427BFD">
        <w:rPr>
          <w:color w:val="212121"/>
        </w:rPr>
        <w:t xml:space="preserve"> financijsko restrukturiranje cestarskih društava odnosno refinanciranja njihovih obveza temeljem izdane obveznice</w:t>
      </w:r>
      <w:r w:rsidR="004307AB" w:rsidRPr="00427BFD">
        <w:rPr>
          <w:color w:val="212121"/>
        </w:rPr>
        <w:t xml:space="preserve"> 2017. godine</w:t>
      </w:r>
      <w:r w:rsidR="00BA7210" w:rsidRPr="00427BFD">
        <w:rPr>
          <w:color w:val="212121"/>
        </w:rPr>
        <w:t xml:space="preserve">. Naime, Ugovorom o prijenosu sredstava Ministarstvo financija je </w:t>
      </w:r>
      <w:r w:rsidR="00B20C27" w:rsidRPr="00427BFD">
        <w:rPr>
          <w:color w:val="212121"/>
        </w:rPr>
        <w:t xml:space="preserve">2017. godine </w:t>
      </w:r>
      <w:r w:rsidR="00BA7210" w:rsidRPr="00427BFD">
        <w:rPr>
          <w:color w:val="212121"/>
        </w:rPr>
        <w:t xml:space="preserve">sredstva prikupljena izdavanjem </w:t>
      </w:r>
      <w:proofErr w:type="spellStart"/>
      <w:r w:rsidR="00BA7210" w:rsidRPr="00427BFD">
        <w:rPr>
          <w:color w:val="212121"/>
        </w:rPr>
        <w:t>euroobveznica</w:t>
      </w:r>
      <w:proofErr w:type="spellEnd"/>
      <w:r w:rsidR="00BA7210" w:rsidRPr="00427BFD">
        <w:rPr>
          <w:color w:val="212121"/>
        </w:rPr>
        <w:t xml:space="preserve"> ustupilo u korist HAC-a, ARZ-a i HC-a. Na ustupljena sredstva obračunava se kamata koja je identična onoj koju plaća Ministarstvo financija, te su navedena društva dužna uplatiti izn</w:t>
      </w:r>
      <w:r w:rsidR="00924801" w:rsidRPr="00427BFD">
        <w:rPr>
          <w:color w:val="212121"/>
        </w:rPr>
        <w:t>os obračunatih kamata u korist d</w:t>
      </w:r>
      <w:r w:rsidR="00BA7210" w:rsidRPr="00427BFD">
        <w:rPr>
          <w:color w:val="212121"/>
        </w:rPr>
        <w:t xml:space="preserve">ržavnog proračuna prije dospijeća obveze Ministarstva financija. </w:t>
      </w:r>
      <w:r w:rsidR="00092927" w:rsidRPr="00427BFD">
        <w:rPr>
          <w:color w:val="212121"/>
        </w:rPr>
        <w:t xml:space="preserve">Temeljem Dodatka Ugovoru HAC i ARZ nisu bili u obvezi plaćanja kamata u protekle 3 godine </w:t>
      </w:r>
      <w:r w:rsidR="00475783">
        <w:rPr>
          <w:color w:val="212121"/>
        </w:rPr>
        <w:t xml:space="preserve">(od 2021. godine do 2023. godine) </w:t>
      </w:r>
      <w:r w:rsidR="00092927" w:rsidRPr="00427BFD">
        <w:rPr>
          <w:color w:val="212121"/>
        </w:rPr>
        <w:t>s obzirom na to da im je odobren moratorij.</w:t>
      </w:r>
    </w:p>
    <w:p w14:paraId="40A56877" w14:textId="77777777" w:rsidR="00464A05" w:rsidRPr="00427BFD" w:rsidRDefault="00464A05" w:rsidP="004375DD">
      <w:pPr>
        <w:pStyle w:val="xmsonormal"/>
        <w:shd w:val="clear" w:color="auto" w:fill="FFFFFF"/>
        <w:spacing w:before="0" w:beforeAutospacing="0" w:after="0" w:afterAutospacing="0"/>
        <w:jc w:val="both"/>
        <w:rPr>
          <w:color w:val="212121"/>
        </w:rPr>
      </w:pPr>
    </w:p>
    <w:p w14:paraId="6C34C002" w14:textId="0D3E7CEF" w:rsidR="00A16065" w:rsidRPr="00427BFD" w:rsidRDefault="00792BA8" w:rsidP="00A16065">
      <w:pPr>
        <w:pStyle w:val="Naslov"/>
        <w:keepNext/>
        <w:rPr>
          <w:b w:val="0"/>
          <w:bCs w:val="0"/>
        </w:rPr>
      </w:pPr>
      <w:r w:rsidRPr="00427BFD">
        <w:rPr>
          <w:b w:val="0"/>
          <w:bCs w:val="0"/>
        </w:rPr>
        <w:t xml:space="preserve">Bilješka </w:t>
      </w:r>
      <w:r w:rsidR="006618C2" w:rsidRPr="00427BFD">
        <w:rPr>
          <w:b w:val="0"/>
          <w:bCs w:val="0"/>
        </w:rPr>
        <w:t>18</w:t>
      </w:r>
      <w:r w:rsidR="00A16065" w:rsidRPr="00427BFD">
        <w:rPr>
          <w:b w:val="0"/>
          <w:bCs w:val="0"/>
        </w:rPr>
        <w:t>.</w:t>
      </w:r>
    </w:p>
    <w:p w14:paraId="5BB9EDAF" w14:textId="23F24B35" w:rsidR="00A16065" w:rsidRPr="00427BFD" w:rsidRDefault="00464A05" w:rsidP="008A63B8">
      <w:pPr>
        <w:pStyle w:val="Naslov"/>
        <w:keepNext/>
        <w:rPr>
          <w:b w:val="0"/>
          <w:bCs w:val="0"/>
        </w:rPr>
      </w:pPr>
      <w:r w:rsidRPr="00427BFD">
        <w:rPr>
          <w:b w:val="0"/>
          <w:bCs w:val="0"/>
        </w:rPr>
        <w:t xml:space="preserve">Šifra 6526 </w:t>
      </w:r>
      <w:r w:rsidR="00A16065" w:rsidRPr="00427BFD">
        <w:rPr>
          <w:b w:val="0"/>
          <w:bCs w:val="0"/>
        </w:rPr>
        <w:t>Ostali nespomenuti prihodi</w:t>
      </w:r>
    </w:p>
    <w:p w14:paraId="3DBD34AA" w14:textId="1B978A6A" w:rsidR="00570C03" w:rsidRPr="008D78CD" w:rsidRDefault="004375DD" w:rsidP="008D78CD">
      <w:pPr>
        <w:shd w:val="clear" w:color="auto" w:fill="FFFFFF"/>
        <w:jc w:val="both"/>
        <w:rPr>
          <w:color w:val="000000"/>
        </w:rPr>
      </w:pPr>
      <w:r w:rsidRPr="00427BFD">
        <w:rPr>
          <w:color w:val="000000"/>
        </w:rPr>
        <w:t>Ostali nespomenuti prihodi u razdoblju od 1. siječnja do 31. prosinca 2022. godine ostvareni su u iznosu od 349.297.176,91 kuna, što je 82,8 % manje u odnosu na ostvarenih 2,026 milijardi kuna u istom razdoblju 2021. godine. Naime, u 2021. godini Hrvatska agencija za osiguranje depozita uplatila je u državni proračun 1.457.814.367,76 kuna s osnove povrata inicijalnih sredstava iz Fonda osiguranja štednih uloga i sanacije banaka. Sukladno odredbama članka 15. Zakona o osiguranju depozita (Narodne novine, broj 146/20) od 1. siječnja 2021., stvorili su se uvjeti za smanjenje tj. obustavu prikupljanja ex-</w:t>
      </w:r>
      <w:proofErr w:type="spellStart"/>
      <w:r w:rsidRPr="00427BFD">
        <w:rPr>
          <w:color w:val="000000"/>
        </w:rPr>
        <w:t>ante</w:t>
      </w:r>
      <w:proofErr w:type="spellEnd"/>
      <w:r w:rsidRPr="00427BFD">
        <w:rPr>
          <w:color w:val="000000"/>
        </w:rPr>
        <w:t xml:space="preserve"> premija. Sukladno Međunarodnim standardima osiguranja depozita koje je usvojio </w:t>
      </w:r>
      <w:proofErr w:type="spellStart"/>
      <w:r w:rsidRPr="00427BFD">
        <w:rPr>
          <w:color w:val="000000"/>
        </w:rPr>
        <w:t>Baselski</w:t>
      </w:r>
      <w:proofErr w:type="spellEnd"/>
      <w:r w:rsidRPr="00427BFD">
        <w:rPr>
          <w:color w:val="000000"/>
        </w:rPr>
        <w:t xml:space="preserve"> odbor za superviziju (IADI Core </w:t>
      </w:r>
      <w:proofErr w:type="spellStart"/>
      <w:r w:rsidRPr="00427BFD">
        <w:rPr>
          <w:color w:val="000000"/>
        </w:rPr>
        <w:t>Principles</w:t>
      </w:r>
      <w:proofErr w:type="spellEnd"/>
      <w:r w:rsidRPr="00427BFD">
        <w:rPr>
          <w:color w:val="000000"/>
        </w:rPr>
        <w:t xml:space="preserve"> for </w:t>
      </w:r>
      <w:proofErr w:type="spellStart"/>
      <w:r w:rsidRPr="00427BFD">
        <w:rPr>
          <w:color w:val="000000"/>
        </w:rPr>
        <w:t>Effective</w:t>
      </w:r>
      <w:proofErr w:type="spellEnd"/>
      <w:r w:rsidRPr="00427BFD">
        <w:rPr>
          <w:color w:val="000000"/>
        </w:rPr>
        <w:t xml:space="preserve"> </w:t>
      </w:r>
      <w:proofErr w:type="spellStart"/>
      <w:r w:rsidRPr="00427BFD">
        <w:rPr>
          <w:color w:val="000000"/>
        </w:rPr>
        <w:t>Deposit</w:t>
      </w:r>
      <w:proofErr w:type="spellEnd"/>
      <w:r w:rsidRPr="00427BFD">
        <w:rPr>
          <w:color w:val="000000"/>
        </w:rPr>
        <w:t xml:space="preserve"> Insurance Systems, </w:t>
      </w:r>
      <w:proofErr w:type="spellStart"/>
      <w:r w:rsidRPr="00427BFD">
        <w:rPr>
          <w:color w:val="000000"/>
        </w:rPr>
        <w:t>November</w:t>
      </w:r>
      <w:proofErr w:type="spellEnd"/>
      <w:r w:rsidRPr="00427BFD">
        <w:rPr>
          <w:color w:val="000000"/>
        </w:rPr>
        <w:t xml:space="preserve"> 2014; </w:t>
      </w:r>
      <w:proofErr w:type="spellStart"/>
      <w:r w:rsidRPr="00427BFD">
        <w:rPr>
          <w:color w:val="000000"/>
        </w:rPr>
        <w:t>principle</w:t>
      </w:r>
      <w:proofErr w:type="spellEnd"/>
      <w:r w:rsidRPr="00427BFD">
        <w:rPr>
          <w:color w:val="000000"/>
        </w:rPr>
        <w:t xml:space="preserve"> 9 – </w:t>
      </w:r>
      <w:proofErr w:type="spellStart"/>
      <w:r w:rsidRPr="00427BFD">
        <w:rPr>
          <w:color w:val="000000"/>
        </w:rPr>
        <w:t>Sources</w:t>
      </w:r>
      <w:proofErr w:type="spellEnd"/>
      <w:r w:rsidRPr="00427BFD">
        <w:rPr>
          <w:color w:val="000000"/>
        </w:rPr>
        <w:t xml:space="preserve"> </w:t>
      </w:r>
      <w:proofErr w:type="spellStart"/>
      <w:r w:rsidRPr="00427BFD">
        <w:rPr>
          <w:color w:val="000000"/>
        </w:rPr>
        <w:t>and</w:t>
      </w:r>
      <w:proofErr w:type="spellEnd"/>
      <w:r w:rsidRPr="00427BFD">
        <w:rPr>
          <w:color w:val="000000"/>
        </w:rPr>
        <w:t xml:space="preserve"> </w:t>
      </w:r>
      <w:proofErr w:type="spellStart"/>
      <w:r w:rsidRPr="00427BFD">
        <w:rPr>
          <w:color w:val="000000"/>
        </w:rPr>
        <w:t>uses</w:t>
      </w:r>
      <w:proofErr w:type="spellEnd"/>
      <w:r w:rsidRPr="00427BFD">
        <w:rPr>
          <w:color w:val="000000"/>
        </w:rPr>
        <w:t xml:space="preserve"> </w:t>
      </w:r>
      <w:proofErr w:type="spellStart"/>
      <w:r w:rsidRPr="00427BFD">
        <w:rPr>
          <w:color w:val="000000"/>
        </w:rPr>
        <w:t>of</w:t>
      </w:r>
      <w:proofErr w:type="spellEnd"/>
      <w:r w:rsidRPr="00427BFD">
        <w:rPr>
          <w:color w:val="000000"/>
        </w:rPr>
        <w:t xml:space="preserve"> </w:t>
      </w:r>
      <w:proofErr w:type="spellStart"/>
      <w:r w:rsidRPr="00427BFD">
        <w:rPr>
          <w:color w:val="000000"/>
        </w:rPr>
        <w:t>funds</w:t>
      </w:r>
      <w:proofErr w:type="spellEnd"/>
      <w:r w:rsidRPr="00427BFD">
        <w:rPr>
          <w:color w:val="000000"/>
        </w:rPr>
        <w:t>) sustav osiguranja depozita prije bilo kakvog smanjenja ili obustave prikupljanja premija osiguranja ima obvezu vratiti sva inicijalna sredstva državama tj. proračunima koja su eventualno uplaćena prilikom osnivanja sustava osiguranja i fondova osiguranja. Agencija je, s obzirom na dostignutu propisanu razinu uplaćenih sredstava u osnovni i dodatni fond osiguranja depozita, uplatila u siječnju 2021. godine navedena sredstva u državni proračun.</w:t>
      </w:r>
    </w:p>
    <w:p w14:paraId="7D93BA5D" w14:textId="7A2B2EF3" w:rsidR="00AC7946" w:rsidRPr="00427BFD" w:rsidRDefault="00AC7946" w:rsidP="003F5334">
      <w:pPr>
        <w:shd w:val="clear" w:color="auto" w:fill="FFFFFF"/>
        <w:jc w:val="both"/>
        <w:rPr>
          <w:color w:val="000000"/>
        </w:rPr>
      </w:pPr>
    </w:p>
    <w:p w14:paraId="45D33E3D" w14:textId="713E4C1A" w:rsidR="00AC7946" w:rsidRPr="00427BFD" w:rsidRDefault="00AC7946" w:rsidP="00AC7946">
      <w:pPr>
        <w:pStyle w:val="Naslov"/>
        <w:keepNext/>
        <w:rPr>
          <w:b w:val="0"/>
          <w:bCs w:val="0"/>
        </w:rPr>
      </w:pPr>
      <w:r w:rsidRPr="00427BFD">
        <w:rPr>
          <w:b w:val="0"/>
          <w:bCs w:val="0"/>
        </w:rPr>
        <w:t>Bilješka</w:t>
      </w:r>
      <w:r w:rsidR="00792BA8" w:rsidRPr="00427BFD">
        <w:rPr>
          <w:b w:val="0"/>
          <w:bCs w:val="0"/>
        </w:rPr>
        <w:t xml:space="preserve"> </w:t>
      </w:r>
      <w:r w:rsidR="006618C2" w:rsidRPr="00427BFD">
        <w:rPr>
          <w:b w:val="0"/>
          <w:bCs w:val="0"/>
        </w:rPr>
        <w:t>19</w:t>
      </w:r>
      <w:r w:rsidR="00F4732E" w:rsidRPr="00427BFD">
        <w:rPr>
          <w:b w:val="0"/>
          <w:bCs w:val="0"/>
        </w:rPr>
        <w:t>.</w:t>
      </w:r>
    </w:p>
    <w:p w14:paraId="4222E5DC" w14:textId="1D065176" w:rsidR="00AC7946" w:rsidRPr="00427BFD" w:rsidRDefault="00464A05" w:rsidP="00F4732E">
      <w:pPr>
        <w:pStyle w:val="Naslov"/>
        <w:keepNext/>
        <w:rPr>
          <w:b w:val="0"/>
          <w:bCs w:val="0"/>
        </w:rPr>
      </w:pPr>
      <w:r w:rsidRPr="00427BFD">
        <w:rPr>
          <w:b w:val="0"/>
          <w:bCs w:val="0"/>
        </w:rPr>
        <w:t xml:space="preserve">Šifra 6634 </w:t>
      </w:r>
      <w:r w:rsidR="00AC7946" w:rsidRPr="00427BFD">
        <w:rPr>
          <w:b w:val="0"/>
          <w:bCs w:val="0"/>
        </w:rPr>
        <w:t>Povrat kapitalnih pomoći danih trgovačkim društvima i obrtnicima po protestiranim jamstvima</w:t>
      </w:r>
    </w:p>
    <w:p w14:paraId="321FBA04" w14:textId="33917CB5" w:rsidR="00A50908" w:rsidRPr="00427BFD" w:rsidRDefault="00F57718" w:rsidP="00A50908">
      <w:pPr>
        <w:shd w:val="clear" w:color="auto" w:fill="FFFFFF"/>
        <w:jc w:val="both"/>
      </w:pPr>
      <w:r w:rsidRPr="00427BFD">
        <w:t xml:space="preserve">U 2022. godini </w:t>
      </w:r>
      <w:r w:rsidR="00A50908" w:rsidRPr="00427BFD">
        <w:t>ostvareno je 4.439.932,38 kuna povrata kapitalnih pomoći danih trgovačkim društvima i obrtnicima po pr</w:t>
      </w:r>
      <w:r w:rsidRPr="00427BFD">
        <w:t>otestiranim jamstvima, što je 97,8</w:t>
      </w:r>
      <w:r w:rsidR="00A50908" w:rsidRPr="00427BFD">
        <w:t xml:space="preserve">% manje od ostvarenih prihoda u istom razdoblju prethodne godine kada su navedeni prihodi iznosili </w:t>
      </w:r>
      <w:r w:rsidRPr="00427BFD">
        <w:t>205.387.185,00</w:t>
      </w:r>
      <w:r w:rsidR="00A50908" w:rsidRPr="00427BFD">
        <w:t xml:space="preserve"> kuna. </w:t>
      </w:r>
    </w:p>
    <w:p w14:paraId="391314CE" w14:textId="77777777" w:rsidR="00F57718" w:rsidRPr="00427BFD" w:rsidRDefault="00F57718" w:rsidP="00F57718">
      <w:pPr>
        <w:shd w:val="clear" w:color="auto" w:fill="FFFFFF"/>
        <w:jc w:val="both"/>
      </w:pPr>
    </w:p>
    <w:p w14:paraId="1D3790F4" w14:textId="79A19891" w:rsidR="00F57718" w:rsidRPr="00427BFD" w:rsidRDefault="00F57718" w:rsidP="00F57718">
      <w:pPr>
        <w:shd w:val="clear" w:color="auto" w:fill="FFFFFF"/>
        <w:jc w:val="both"/>
        <w:rPr>
          <w:color w:val="000000"/>
        </w:rPr>
      </w:pPr>
      <w:r w:rsidRPr="00427BFD">
        <w:t xml:space="preserve">Prihodi od povrata kapitalnih pomoći danih trgovačkim društvima i obrtnicima po protestiranim jamstvima u 2022. godine najvećim su dijelom ostvareni uplatom u državni proračun JADRANKAMENA d.d. po stečajnom planu u iznosu od 1.024.800,00 i 1.984.800,00 kuna te Trgovačkog suda u Zagrebu temeljem naknadne diobe iz stečajne mase društva </w:t>
      </w:r>
      <w:proofErr w:type="spellStart"/>
      <w:r w:rsidRPr="00427BFD">
        <w:t>Rubik</w:t>
      </w:r>
      <w:proofErr w:type="spellEnd"/>
      <w:r w:rsidRPr="00427BFD">
        <w:t xml:space="preserve"> d.o.o. u stečaju u iznosu od 1.375.496,64 kuna.</w:t>
      </w:r>
    </w:p>
    <w:p w14:paraId="062FFCFB" w14:textId="77777777" w:rsidR="00A50908" w:rsidRPr="00427BFD" w:rsidRDefault="00A50908" w:rsidP="00A50908">
      <w:pPr>
        <w:shd w:val="clear" w:color="auto" w:fill="FFFFFF"/>
        <w:jc w:val="both"/>
      </w:pPr>
    </w:p>
    <w:p w14:paraId="7A08CE45" w14:textId="3772DEC0" w:rsidR="00A50908" w:rsidRPr="00427BFD" w:rsidRDefault="00F57718" w:rsidP="00A50908">
      <w:pPr>
        <w:shd w:val="clear" w:color="auto" w:fill="FFFFFF"/>
        <w:jc w:val="both"/>
      </w:pPr>
      <w:r w:rsidRPr="00427BFD">
        <w:t>Smanjenje u odnosu na prethodnu godinu  je značajno iz razl</w:t>
      </w:r>
      <w:r w:rsidR="004307AB" w:rsidRPr="00427BFD">
        <w:t>oga što je u 2021. evidentiran</w:t>
      </w:r>
      <w:r w:rsidRPr="00427BFD">
        <w:t xml:space="preserve"> prihod </w:t>
      </w:r>
      <w:r w:rsidR="00A50908" w:rsidRPr="00427BFD">
        <w:t>temeljem prijeboja potraživanja prema društvu Uljanik d.d. u stečaju i Uljanik Brodogradilište d.d. u stečaju u ukupnom iznosu 154.774.905,58 kuna.</w:t>
      </w:r>
    </w:p>
    <w:p w14:paraId="3EDE29E6" w14:textId="77777777" w:rsidR="00A50908" w:rsidRPr="00427BFD" w:rsidRDefault="00A50908" w:rsidP="00A50908">
      <w:pPr>
        <w:shd w:val="clear" w:color="auto" w:fill="FFFFFF"/>
        <w:jc w:val="both"/>
      </w:pPr>
    </w:p>
    <w:p w14:paraId="6BFA27B5" w14:textId="77777777" w:rsidR="00A50908" w:rsidRPr="00427BFD" w:rsidRDefault="00A50908" w:rsidP="00A50908">
      <w:pPr>
        <w:shd w:val="clear" w:color="auto" w:fill="FFFFFF"/>
        <w:jc w:val="both"/>
      </w:pPr>
      <w:r w:rsidRPr="00427BFD">
        <w:lastRenderedPageBreak/>
        <w:t xml:space="preserve">U stečajnom postupku društva Uljanik d.d. u stečaju, Ministarstvo financija je izvršilo prijeboj svoje tražbine na ime plaćenih državnih jamstava sa </w:t>
      </w:r>
      <w:proofErr w:type="spellStart"/>
      <w:r w:rsidRPr="00427BFD">
        <w:t>protutražbinom</w:t>
      </w:r>
      <w:proofErr w:type="spellEnd"/>
      <w:r w:rsidRPr="00427BFD">
        <w:t xml:space="preserve"> Uljanika d.d. u stečaju po osnovu cijene u visini utvrđene vrijednosti broda u gradnji Uljanik 531 u iznosu od 72.374.569,20 kuna. Trgovački sud u Pazinu, dana 5. svibnja 2021. godine, donio je rješenje o dosudi broda u gradnji Uljanik 531 Republici Hrvatskoj, Ministarstvu financija, što je evidentirano u 2021. godini.</w:t>
      </w:r>
    </w:p>
    <w:p w14:paraId="76D22BB5" w14:textId="77777777" w:rsidR="00A50908" w:rsidRPr="00427BFD" w:rsidRDefault="00A50908" w:rsidP="00A50908">
      <w:pPr>
        <w:shd w:val="clear" w:color="auto" w:fill="FFFFFF"/>
        <w:jc w:val="both"/>
      </w:pPr>
    </w:p>
    <w:p w14:paraId="77E3C0C0" w14:textId="77777777" w:rsidR="00A50908" w:rsidRPr="00427BFD" w:rsidRDefault="00A50908" w:rsidP="00A50908">
      <w:pPr>
        <w:shd w:val="clear" w:color="auto" w:fill="FFFFFF"/>
        <w:jc w:val="both"/>
      </w:pPr>
      <w:r w:rsidRPr="00427BFD">
        <w:t xml:space="preserve">Dodatno, dana 17. svibnja 2021. godine zaključen je Ugovor o unovčenju pokretnina opterećenih </w:t>
      </w:r>
      <w:proofErr w:type="spellStart"/>
      <w:r w:rsidRPr="00427BFD">
        <w:t>razlučnim</w:t>
      </w:r>
      <w:proofErr w:type="spellEnd"/>
      <w:r w:rsidRPr="00427BFD">
        <w:t xml:space="preserve"> pravom između Ministarstva financija i društva Uljanik Brodogradilište d.d. u stečaju. Navedenim Ugovorom izvršen je prijeboj tražbine Ministarstva financija na ime plaćenih državnih jamstava sa </w:t>
      </w:r>
      <w:proofErr w:type="spellStart"/>
      <w:r w:rsidRPr="00427BFD">
        <w:t>protutražbinom</w:t>
      </w:r>
      <w:proofErr w:type="spellEnd"/>
      <w:r w:rsidRPr="00427BFD">
        <w:t xml:space="preserve"> Uljanik Brodogradilišta d.d. u stečaju po osnovi utvrđene vrijednosti pokretnina u iznosu od 82.400.336,38 kuna.</w:t>
      </w:r>
    </w:p>
    <w:p w14:paraId="5AD83806" w14:textId="2D1B1CEE" w:rsidR="0043216F" w:rsidRPr="00427BFD" w:rsidRDefault="0043216F" w:rsidP="00A50908">
      <w:pPr>
        <w:shd w:val="clear" w:color="auto" w:fill="FFFFFF"/>
        <w:jc w:val="both"/>
      </w:pPr>
    </w:p>
    <w:p w14:paraId="1F0F20FF" w14:textId="07309702" w:rsidR="0043216F" w:rsidRPr="00427BFD" w:rsidRDefault="0043216F" w:rsidP="0043216F">
      <w:pPr>
        <w:shd w:val="clear" w:color="auto" w:fill="FFFFFF"/>
        <w:jc w:val="center"/>
        <w:rPr>
          <w:color w:val="000000"/>
          <w:sz w:val="28"/>
          <w:szCs w:val="28"/>
        </w:rPr>
      </w:pPr>
      <w:r w:rsidRPr="00427BFD">
        <w:rPr>
          <w:color w:val="000000"/>
          <w:sz w:val="28"/>
          <w:szCs w:val="28"/>
        </w:rPr>
        <w:t xml:space="preserve">Bilješka </w:t>
      </w:r>
      <w:r w:rsidR="006618C2" w:rsidRPr="00427BFD">
        <w:rPr>
          <w:color w:val="000000"/>
          <w:sz w:val="28"/>
          <w:szCs w:val="28"/>
        </w:rPr>
        <w:t>20</w:t>
      </w:r>
      <w:r w:rsidRPr="00427BFD">
        <w:rPr>
          <w:color w:val="000000"/>
          <w:sz w:val="28"/>
          <w:szCs w:val="28"/>
        </w:rPr>
        <w:t>.</w:t>
      </w:r>
    </w:p>
    <w:p w14:paraId="5AA91815" w14:textId="50708D4E" w:rsidR="0043216F" w:rsidRPr="00427BFD" w:rsidRDefault="0043216F" w:rsidP="0043216F">
      <w:pPr>
        <w:jc w:val="center"/>
        <w:rPr>
          <w:color w:val="000000"/>
          <w:sz w:val="28"/>
          <w:szCs w:val="28"/>
        </w:rPr>
      </w:pPr>
      <w:r w:rsidRPr="00427BFD">
        <w:rPr>
          <w:color w:val="000000"/>
          <w:sz w:val="28"/>
          <w:szCs w:val="28"/>
        </w:rPr>
        <w:t xml:space="preserve">Šifra 683 Ostali prihodi </w:t>
      </w:r>
    </w:p>
    <w:p w14:paraId="3769B3E6" w14:textId="77777777" w:rsidR="0043216F" w:rsidRPr="00427BFD" w:rsidRDefault="0043216F" w:rsidP="0043216F">
      <w:r w:rsidRPr="00427BFD">
        <w:t xml:space="preserve">U 2022. godini ostvareno je 46.858.885,17 ostalih prihoda što je za 93,7 % više u odnosu na prethodnu godinu. </w:t>
      </w:r>
    </w:p>
    <w:p w14:paraId="1BAEB404" w14:textId="62D3F5AA" w:rsidR="00AD689C" w:rsidRDefault="00AD689C" w:rsidP="002D6C92">
      <w:pPr>
        <w:jc w:val="both"/>
        <w:rPr>
          <w:highlight w:val="yellow"/>
        </w:rPr>
      </w:pPr>
    </w:p>
    <w:p w14:paraId="4B718331" w14:textId="510C4E57" w:rsidR="00E52C4A" w:rsidRPr="00427BFD" w:rsidRDefault="00AD689C" w:rsidP="00E52C4A">
      <w:pPr>
        <w:jc w:val="both"/>
      </w:pPr>
      <w:r w:rsidRPr="00427BFD">
        <w:t xml:space="preserve">Iznos od 12 milijuna kuna unutar ove kategorije odnosi se na prihode </w:t>
      </w:r>
      <w:r w:rsidR="00E52C4A" w:rsidRPr="00427BFD">
        <w:t xml:space="preserve">Zavoda za intelektualno vlasništvo </w:t>
      </w:r>
      <w:r w:rsidRPr="00427BFD">
        <w:t>temeljem provedbe međunarodnih ugovora o suradnji vezanih za područje patenata</w:t>
      </w:r>
      <w:r w:rsidR="00E52C4A" w:rsidRPr="00427BFD">
        <w:t xml:space="preserve">. Prihodi čiju naplatu prati Zavod za intelektualno vlasništvo ovise o obujmu aktivnosti prijavitelja i nositelja prava, a prema utvrđenim međunarodnim obvezama se transferiraju međunarodnim organizacijama. Preostala sredstva se periodički </w:t>
      </w:r>
      <w:proofErr w:type="spellStart"/>
      <w:r w:rsidR="00E52C4A" w:rsidRPr="00427BFD">
        <w:t>preknjižavaju</w:t>
      </w:r>
      <w:proofErr w:type="spellEnd"/>
      <w:r w:rsidR="00E52C4A" w:rsidRPr="00427BFD">
        <w:t xml:space="preserve"> na izvor financiranja opći prihodi i primici i time postaju prihod državnog proračuna. U promatranom razdoblju, slijedom povećanja prihoda izvršeno je </w:t>
      </w:r>
      <w:proofErr w:type="spellStart"/>
      <w:r w:rsidR="00E52C4A" w:rsidRPr="00427BFD">
        <w:t>preknjiženje</w:t>
      </w:r>
      <w:proofErr w:type="spellEnd"/>
      <w:r w:rsidR="00E52C4A" w:rsidRPr="00427BFD">
        <w:t xml:space="preserve"> ostvarenih prihoda u iznosu od 12.000.000 k</w:t>
      </w:r>
      <w:r w:rsidR="00930FED" w:rsidRPr="00427BFD">
        <w:t>una</w:t>
      </w:r>
      <w:r w:rsidR="00E52C4A" w:rsidRPr="00427BFD">
        <w:t>. Povećanje u odnosu na usporedno razdoblje prethodne godine proizlazi iz obujma aktivnosti prijavitelja i nositelja prava.</w:t>
      </w:r>
    </w:p>
    <w:p w14:paraId="76949A14" w14:textId="7302CC4E" w:rsidR="00AD689C" w:rsidRPr="00427BFD" w:rsidRDefault="00AD689C" w:rsidP="002D6C92">
      <w:pPr>
        <w:jc w:val="both"/>
      </w:pPr>
    </w:p>
    <w:p w14:paraId="5BB60797" w14:textId="72F10273" w:rsidR="0043216F" w:rsidRPr="00427BFD" w:rsidRDefault="0043216F" w:rsidP="0057043D">
      <w:pPr>
        <w:jc w:val="both"/>
      </w:pPr>
      <w:r w:rsidRPr="00427BFD">
        <w:t xml:space="preserve">Iznos od 2,7 milijuna kuna unutar ove kategorije odnosi se na </w:t>
      </w:r>
      <w:r w:rsidR="002D6C92" w:rsidRPr="00427BFD">
        <w:t xml:space="preserve">sredstva </w:t>
      </w:r>
      <w:r w:rsidR="00776847">
        <w:t xml:space="preserve">uplaćena u 2020. i 2021. godini </w:t>
      </w:r>
      <w:r w:rsidR="002D6C92" w:rsidRPr="00427BFD">
        <w:t>iz stečajnog postupka nad stečajnom masom iza Đakovština d.d. u stečaju</w:t>
      </w:r>
      <w:r w:rsidR="004C7CCF" w:rsidRPr="00427BFD">
        <w:t>.</w:t>
      </w:r>
    </w:p>
    <w:p w14:paraId="6BC9BC2A" w14:textId="77777777" w:rsidR="0043216F" w:rsidRPr="00427BFD" w:rsidRDefault="0043216F" w:rsidP="0043216F">
      <w:pPr>
        <w:jc w:val="center"/>
        <w:rPr>
          <w:color w:val="000000"/>
          <w:sz w:val="28"/>
          <w:szCs w:val="28"/>
        </w:rPr>
      </w:pPr>
    </w:p>
    <w:p w14:paraId="27897979" w14:textId="00611951" w:rsidR="0066436A" w:rsidRPr="00427BFD" w:rsidRDefault="00792BA8" w:rsidP="0043216F">
      <w:pPr>
        <w:jc w:val="center"/>
        <w:rPr>
          <w:color w:val="000000"/>
          <w:sz w:val="28"/>
          <w:szCs w:val="28"/>
        </w:rPr>
      </w:pPr>
      <w:r w:rsidRPr="00427BFD">
        <w:rPr>
          <w:color w:val="000000"/>
          <w:sz w:val="28"/>
          <w:szCs w:val="28"/>
        </w:rPr>
        <w:t xml:space="preserve">Bilješka </w:t>
      </w:r>
      <w:r w:rsidR="006618C2" w:rsidRPr="00427BFD">
        <w:rPr>
          <w:color w:val="000000"/>
          <w:sz w:val="28"/>
          <w:szCs w:val="28"/>
        </w:rPr>
        <w:t>21</w:t>
      </w:r>
      <w:r w:rsidR="0066436A" w:rsidRPr="00427BFD">
        <w:rPr>
          <w:color w:val="000000"/>
          <w:sz w:val="28"/>
          <w:szCs w:val="28"/>
        </w:rPr>
        <w:t>.</w:t>
      </w:r>
    </w:p>
    <w:p w14:paraId="2864694F" w14:textId="54B8530C" w:rsidR="0066436A" w:rsidRPr="00427BFD" w:rsidRDefault="00464A05" w:rsidP="00F4732E">
      <w:pPr>
        <w:jc w:val="center"/>
        <w:rPr>
          <w:b/>
        </w:rPr>
      </w:pPr>
      <w:r w:rsidRPr="00427BFD">
        <w:rPr>
          <w:color w:val="000000"/>
          <w:sz w:val="28"/>
          <w:szCs w:val="28"/>
        </w:rPr>
        <w:t xml:space="preserve">Šifra 3238 </w:t>
      </w:r>
      <w:r w:rsidR="0066436A" w:rsidRPr="00427BFD">
        <w:rPr>
          <w:color w:val="000000"/>
          <w:sz w:val="28"/>
          <w:szCs w:val="28"/>
        </w:rPr>
        <w:t>Računalne usluge</w:t>
      </w:r>
    </w:p>
    <w:p w14:paraId="44265FD4" w14:textId="2A936328" w:rsidR="00B20C27" w:rsidRPr="00427BFD" w:rsidRDefault="008270BB" w:rsidP="004C7CCF">
      <w:pPr>
        <w:jc w:val="both"/>
      </w:pPr>
      <w:r w:rsidRPr="00427BFD">
        <w:t xml:space="preserve">Računalne usluge su u razdoblju od 1. siječnja do 31. prosinca 2022. godini izvršene u iznosu od 11,2 milijuna kuna. </w:t>
      </w:r>
      <w:r w:rsidR="00A713BE" w:rsidRPr="00427BFD">
        <w:t xml:space="preserve">Navedeni rashodi odnose se na </w:t>
      </w:r>
      <w:r w:rsidR="00B20C27" w:rsidRPr="00427BFD">
        <w:t xml:space="preserve">usluge koje FINA obavlja temeljem Ugovora o obavljanju određenih poslova za potrebe Ministarstva financija. Između ostalog </w:t>
      </w:r>
      <w:r w:rsidR="004C7CCF" w:rsidRPr="00427BFD">
        <w:t>ove usluge odnos</w:t>
      </w:r>
      <w:r w:rsidR="00776847">
        <w:t>e</w:t>
      </w:r>
      <w:r w:rsidR="004C7CCF" w:rsidRPr="00427BFD">
        <w:t xml:space="preserve"> se na poslove platnog prometa, poslove primitka, kontrole, unosa, obrade i isporuka podataka iz  financijskih izvještaja, poslove tehnološko-operativne podrške radu sustava Državne riznice, poslove informatičko-tehničke podrške radu sustava Državne riznice, poslove vođenja registara</w:t>
      </w:r>
      <w:r w:rsidR="004307AB" w:rsidRPr="00427BFD">
        <w:t xml:space="preserve"> </w:t>
      </w:r>
      <w:r w:rsidR="00B20C27" w:rsidRPr="00427BFD">
        <w:t xml:space="preserve">te </w:t>
      </w:r>
      <w:r w:rsidR="004307AB" w:rsidRPr="00427BFD">
        <w:t xml:space="preserve">na </w:t>
      </w:r>
      <w:r w:rsidR="00B20C27" w:rsidRPr="00427BFD">
        <w:t>ostale usluge</w:t>
      </w:r>
      <w:r w:rsidR="004307AB" w:rsidRPr="00427BFD">
        <w:t xml:space="preserve"> definirane gore spomenutim Ugovorom</w:t>
      </w:r>
      <w:r w:rsidR="00B20C27" w:rsidRPr="00427BFD">
        <w:t xml:space="preserve">. </w:t>
      </w:r>
    </w:p>
    <w:p w14:paraId="41C2B6B3" w14:textId="0DBB18D5" w:rsidR="0066436A" w:rsidRPr="00427BFD" w:rsidRDefault="0066436A" w:rsidP="0066436A">
      <w:pPr>
        <w:jc w:val="both"/>
      </w:pPr>
    </w:p>
    <w:p w14:paraId="7467E8F7" w14:textId="3C345656" w:rsidR="004F4A15" w:rsidRPr="00427BFD" w:rsidRDefault="00792BA8" w:rsidP="004F4A15">
      <w:pPr>
        <w:pStyle w:val="Naslov"/>
        <w:keepNext/>
        <w:rPr>
          <w:b w:val="0"/>
          <w:bCs w:val="0"/>
        </w:rPr>
      </w:pPr>
      <w:r w:rsidRPr="00427BFD">
        <w:rPr>
          <w:b w:val="0"/>
          <w:bCs w:val="0"/>
        </w:rPr>
        <w:t xml:space="preserve">Bilješka </w:t>
      </w:r>
      <w:r w:rsidR="006618C2" w:rsidRPr="00427BFD">
        <w:rPr>
          <w:b w:val="0"/>
          <w:bCs w:val="0"/>
        </w:rPr>
        <w:t>22</w:t>
      </w:r>
      <w:r w:rsidR="004F4A15" w:rsidRPr="00427BFD">
        <w:rPr>
          <w:b w:val="0"/>
          <w:bCs w:val="0"/>
        </w:rPr>
        <w:t>.</w:t>
      </w:r>
    </w:p>
    <w:p w14:paraId="51613CA6" w14:textId="502FD44B" w:rsidR="004F4A15" w:rsidRPr="00427BFD" w:rsidRDefault="00AF3AB0" w:rsidP="004F4A15">
      <w:pPr>
        <w:pStyle w:val="Naslov"/>
        <w:keepNext/>
        <w:rPr>
          <w:b w:val="0"/>
          <w:bCs w:val="0"/>
        </w:rPr>
      </w:pPr>
      <w:r w:rsidRPr="00427BFD">
        <w:rPr>
          <w:b w:val="0"/>
          <w:bCs w:val="0"/>
        </w:rPr>
        <w:t xml:space="preserve">Šifra 3296 </w:t>
      </w:r>
      <w:r w:rsidR="004F4A15" w:rsidRPr="00427BFD">
        <w:rPr>
          <w:b w:val="0"/>
          <w:bCs w:val="0"/>
        </w:rPr>
        <w:t>Troškovi sudskih postupaka</w:t>
      </w:r>
    </w:p>
    <w:p w14:paraId="28AAF7D9" w14:textId="77777777" w:rsidR="009F230F" w:rsidRPr="00427BFD" w:rsidRDefault="00725530" w:rsidP="00432370">
      <w:pPr>
        <w:pStyle w:val="Naslov"/>
        <w:jc w:val="both"/>
        <w:rPr>
          <w:b w:val="0"/>
          <w:bCs w:val="0"/>
          <w:sz w:val="24"/>
        </w:rPr>
      </w:pPr>
      <w:r w:rsidRPr="00427BFD">
        <w:rPr>
          <w:b w:val="0"/>
          <w:bCs w:val="0"/>
          <w:sz w:val="24"/>
        </w:rPr>
        <w:t>U 2022</w:t>
      </w:r>
      <w:r w:rsidR="004F4A15" w:rsidRPr="00427BFD">
        <w:rPr>
          <w:b w:val="0"/>
          <w:bCs w:val="0"/>
          <w:sz w:val="24"/>
        </w:rPr>
        <w:t xml:space="preserve">. godini na ime troškova sudskih postupaka </w:t>
      </w:r>
      <w:r w:rsidRPr="00427BFD">
        <w:rPr>
          <w:b w:val="0"/>
          <w:bCs w:val="0"/>
          <w:sz w:val="24"/>
        </w:rPr>
        <w:t>izvršeno je</w:t>
      </w:r>
      <w:r w:rsidR="004F4A15" w:rsidRPr="00427BFD">
        <w:rPr>
          <w:b w:val="0"/>
          <w:bCs w:val="0"/>
          <w:sz w:val="24"/>
        </w:rPr>
        <w:t xml:space="preserve"> </w:t>
      </w:r>
      <w:r w:rsidRPr="00427BFD">
        <w:rPr>
          <w:b w:val="0"/>
          <w:bCs w:val="0"/>
          <w:sz w:val="24"/>
        </w:rPr>
        <w:t>1.569.764,20</w:t>
      </w:r>
      <w:r w:rsidR="004F4A15" w:rsidRPr="00427BFD">
        <w:rPr>
          <w:b w:val="0"/>
          <w:bCs w:val="0"/>
          <w:sz w:val="24"/>
        </w:rPr>
        <w:t xml:space="preserve"> kuna</w:t>
      </w:r>
      <w:r w:rsidR="00A8174F" w:rsidRPr="00427BFD">
        <w:rPr>
          <w:b w:val="0"/>
          <w:bCs w:val="0"/>
          <w:sz w:val="24"/>
        </w:rPr>
        <w:t xml:space="preserve"> rashoda</w:t>
      </w:r>
      <w:r w:rsidR="004F4A15" w:rsidRPr="00427BFD">
        <w:rPr>
          <w:b w:val="0"/>
          <w:bCs w:val="0"/>
          <w:sz w:val="24"/>
        </w:rPr>
        <w:t xml:space="preserve"> odnosno </w:t>
      </w:r>
      <w:r w:rsidRPr="00427BFD">
        <w:rPr>
          <w:b w:val="0"/>
          <w:bCs w:val="0"/>
          <w:sz w:val="24"/>
        </w:rPr>
        <w:t xml:space="preserve">96,4 </w:t>
      </w:r>
      <w:r w:rsidR="004F4A15" w:rsidRPr="00427BFD">
        <w:rPr>
          <w:b w:val="0"/>
          <w:bCs w:val="0"/>
          <w:sz w:val="24"/>
        </w:rPr>
        <w:t xml:space="preserve">% </w:t>
      </w:r>
      <w:r w:rsidRPr="00427BFD">
        <w:rPr>
          <w:b w:val="0"/>
          <w:bCs w:val="0"/>
          <w:sz w:val="24"/>
        </w:rPr>
        <w:t>manje</w:t>
      </w:r>
      <w:r w:rsidR="004F4A15" w:rsidRPr="00427BFD">
        <w:rPr>
          <w:b w:val="0"/>
          <w:bCs w:val="0"/>
          <w:sz w:val="24"/>
        </w:rPr>
        <w:t xml:space="preserve"> u odnosu na </w:t>
      </w:r>
      <w:r w:rsidRPr="00427BFD">
        <w:rPr>
          <w:b w:val="0"/>
          <w:bCs w:val="0"/>
          <w:sz w:val="24"/>
        </w:rPr>
        <w:t>izvršene rashode u 2021</w:t>
      </w:r>
      <w:r w:rsidR="004F4A15" w:rsidRPr="00427BFD">
        <w:rPr>
          <w:b w:val="0"/>
          <w:bCs w:val="0"/>
          <w:sz w:val="24"/>
        </w:rPr>
        <w:t xml:space="preserve">. </w:t>
      </w:r>
      <w:r w:rsidR="009F230F" w:rsidRPr="00427BFD">
        <w:rPr>
          <w:b w:val="0"/>
          <w:bCs w:val="0"/>
          <w:sz w:val="24"/>
        </w:rPr>
        <w:t xml:space="preserve">Navedeni troškovi proizlaze iz stečajnih i </w:t>
      </w:r>
      <w:proofErr w:type="spellStart"/>
      <w:r w:rsidR="009F230F" w:rsidRPr="00427BFD">
        <w:rPr>
          <w:b w:val="0"/>
          <w:bCs w:val="0"/>
          <w:sz w:val="24"/>
        </w:rPr>
        <w:t>predstečajnih</w:t>
      </w:r>
      <w:proofErr w:type="spellEnd"/>
      <w:r w:rsidR="009F230F" w:rsidRPr="00427BFD">
        <w:rPr>
          <w:b w:val="0"/>
          <w:bCs w:val="0"/>
          <w:sz w:val="24"/>
        </w:rPr>
        <w:t xml:space="preserve"> postupaka u kojima je Ministarstvo financija vjerovnik, provođenja ovršnih postupaka, provođenja elektroničke javne dražbe, vođenja parničnih postupaka, troškove procjene vrijednosti nekretnina i pokretnina i sl. </w:t>
      </w:r>
    </w:p>
    <w:p w14:paraId="7027E948" w14:textId="77777777" w:rsidR="009F230F" w:rsidRPr="00427BFD" w:rsidRDefault="009F230F" w:rsidP="00432370">
      <w:pPr>
        <w:pStyle w:val="Naslov"/>
        <w:jc w:val="both"/>
        <w:rPr>
          <w:b w:val="0"/>
          <w:bCs w:val="0"/>
          <w:sz w:val="24"/>
        </w:rPr>
      </w:pPr>
    </w:p>
    <w:p w14:paraId="0961D256" w14:textId="7A0D6D52" w:rsidR="0032284B" w:rsidRPr="00427BFD" w:rsidRDefault="00725530" w:rsidP="00432370">
      <w:pPr>
        <w:pStyle w:val="Naslov"/>
        <w:jc w:val="both"/>
        <w:rPr>
          <w:b w:val="0"/>
          <w:bCs w:val="0"/>
          <w:sz w:val="24"/>
        </w:rPr>
      </w:pPr>
      <w:r w:rsidRPr="00427BFD">
        <w:rPr>
          <w:b w:val="0"/>
          <w:bCs w:val="0"/>
          <w:sz w:val="24"/>
        </w:rPr>
        <w:t>Smanjenje u odnosu na prethodnu godinu</w:t>
      </w:r>
      <w:r w:rsidR="0032284B" w:rsidRPr="00427BFD">
        <w:rPr>
          <w:b w:val="0"/>
          <w:bCs w:val="0"/>
          <w:sz w:val="24"/>
        </w:rPr>
        <w:t xml:space="preserve">  je značajno iz razloga što je </w:t>
      </w:r>
      <w:r w:rsidRPr="00427BFD">
        <w:rPr>
          <w:b w:val="0"/>
          <w:bCs w:val="0"/>
          <w:sz w:val="24"/>
        </w:rPr>
        <w:t>u 2021.</w:t>
      </w:r>
      <w:r w:rsidR="0032284B" w:rsidRPr="00427BFD">
        <w:rPr>
          <w:b w:val="0"/>
          <w:bCs w:val="0"/>
          <w:sz w:val="24"/>
        </w:rPr>
        <w:t xml:space="preserve"> na ime sudskih troškova izvršeno plaćanje po ugovoru koji je sklopila </w:t>
      </w:r>
      <w:r w:rsidR="0032284B" w:rsidRPr="00427BFD">
        <w:rPr>
          <w:b w:val="0"/>
          <w:bCs w:val="0"/>
          <w:color w:val="000000" w:themeColor="text1"/>
          <w:sz w:val="24"/>
        </w:rPr>
        <w:t xml:space="preserve">Republika Hrvatska, Ministarstvo financija </w:t>
      </w:r>
      <w:r w:rsidR="0032284B" w:rsidRPr="00427BFD">
        <w:rPr>
          <w:b w:val="0"/>
          <w:bCs w:val="0"/>
          <w:color w:val="000000" w:themeColor="text1"/>
          <w:sz w:val="24"/>
        </w:rPr>
        <w:lastRenderedPageBreak/>
        <w:t xml:space="preserve">kao </w:t>
      </w:r>
      <w:proofErr w:type="spellStart"/>
      <w:r w:rsidR="0032284B" w:rsidRPr="00427BFD">
        <w:rPr>
          <w:b w:val="0"/>
          <w:bCs w:val="0"/>
          <w:color w:val="000000" w:themeColor="text1"/>
          <w:sz w:val="24"/>
        </w:rPr>
        <w:t>razlučni</w:t>
      </w:r>
      <w:proofErr w:type="spellEnd"/>
      <w:r w:rsidR="0032284B" w:rsidRPr="00427BFD">
        <w:rPr>
          <w:b w:val="0"/>
          <w:bCs w:val="0"/>
          <w:color w:val="000000" w:themeColor="text1"/>
          <w:sz w:val="24"/>
        </w:rPr>
        <w:t xml:space="preserve"> vjerovnik i društvo Uljanik brodogradilište d.d. u stečaju kao stečajni dužnik Ugovor o unovčenju pokretnina opterećenih </w:t>
      </w:r>
      <w:proofErr w:type="spellStart"/>
      <w:r w:rsidR="0032284B" w:rsidRPr="00427BFD">
        <w:rPr>
          <w:b w:val="0"/>
          <w:bCs w:val="0"/>
          <w:color w:val="000000" w:themeColor="text1"/>
          <w:sz w:val="24"/>
        </w:rPr>
        <w:t>razlučnim</w:t>
      </w:r>
      <w:proofErr w:type="spellEnd"/>
      <w:r w:rsidR="0032284B" w:rsidRPr="00427BFD">
        <w:rPr>
          <w:b w:val="0"/>
          <w:bCs w:val="0"/>
          <w:color w:val="000000" w:themeColor="text1"/>
          <w:sz w:val="24"/>
        </w:rPr>
        <w:t xml:space="preserve"> pravom.</w:t>
      </w:r>
    </w:p>
    <w:p w14:paraId="3D63BE04" w14:textId="77777777" w:rsidR="0032284B" w:rsidRPr="00427BFD" w:rsidRDefault="0032284B" w:rsidP="00432370">
      <w:pPr>
        <w:pStyle w:val="Naslov"/>
        <w:jc w:val="both"/>
        <w:rPr>
          <w:b w:val="0"/>
          <w:bCs w:val="0"/>
          <w:sz w:val="24"/>
        </w:rPr>
      </w:pPr>
    </w:p>
    <w:p w14:paraId="06B0AC3F" w14:textId="1AB85390" w:rsidR="006446D3" w:rsidRPr="00427BFD" w:rsidRDefault="00792BA8" w:rsidP="006446D3">
      <w:pPr>
        <w:keepNext/>
        <w:jc w:val="center"/>
        <w:rPr>
          <w:sz w:val="28"/>
        </w:rPr>
      </w:pPr>
      <w:r w:rsidRPr="00427BFD">
        <w:rPr>
          <w:sz w:val="28"/>
        </w:rPr>
        <w:t xml:space="preserve">Bilješka </w:t>
      </w:r>
      <w:r w:rsidR="006618C2" w:rsidRPr="00427BFD">
        <w:rPr>
          <w:sz w:val="28"/>
        </w:rPr>
        <w:t>23</w:t>
      </w:r>
      <w:r w:rsidR="006446D3" w:rsidRPr="00427BFD">
        <w:rPr>
          <w:sz w:val="28"/>
        </w:rPr>
        <w:t>.</w:t>
      </w:r>
    </w:p>
    <w:p w14:paraId="42CC9187" w14:textId="3A59C4AB" w:rsidR="006446D3" w:rsidRPr="00427BFD" w:rsidRDefault="00AF3AB0" w:rsidP="006446D3">
      <w:pPr>
        <w:keepNext/>
        <w:jc w:val="center"/>
        <w:rPr>
          <w:sz w:val="28"/>
        </w:rPr>
      </w:pPr>
      <w:r w:rsidRPr="00427BFD">
        <w:rPr>
          <w:sz w:val="28"/>
        </w:rPr>
        <w:t xml:space="preserve">Šifra 3411 </w:t>
      </w:r>
      <w:r w:rsidR="006446D3" w:rsidRPr="00427BFD">
        <w:rPr>
          <w:sz w:val="28"/>
        </w:rPr>
        <w:t>Kamata na izdane trezorske zapise</w:t>
      </w:r>
      <w:r w:rsidRPr="00427BFD">
        <w:rPr>
          <w:sz w:val="28"/>
        </w:rPr>
        <w:t xml:space="preserve">, Šifra 3413 </w:t>
      </w:r>
      <w:r w:rsidR="006446D3" w:rsidRPr="00427BFD">
        <w:rPr>
          <w:sz w:val="28"/>
        </w:rPr>
        <w:t xml:space="preserve">Kamate za izdane obveznice </w:t>
      </w:r>
      <w:r w:rsidRPr="00427BFD">
        <w:rPr>
          <w:sz w:val="28"/>
        </w:rPr>
        <w:t xml:space="preserve">i Šifra 3423 </w:t>
      </w:r>
      <w:r w:rsidR="006446D3" w:rsidRPr="00427BFD">
        <w:rPr>
          <w:sz w:val="28"/>
        </w:rPr>
        <w:t>Kamate za primljene kredite i zajmove od kreditnih i ostalih financijskih institucija izvan javnog sektora</w:t>
      </w:r>
    </w:p>
    <w:p w14:paraId="4230712C" w14:textId="77777777" w:rsidR="00B54DF9" w:rsidRPr="00427BFD" w:rsidRDefault="00B54DF9" w:rsidP="00B54DF9">
      <w:pPr>
        <w:keepNext/>
        <w:jc w:val="center"/>
        <w:rPr>
          <w:sz w:val="28"/>
        </w:rPr>
      </w:pPr>
    </w:p>
    <w:p w14:paraId="57727B9A" w14:textId="226EC129" w:rsidR="00B54DF9" w:rsidRPr="00427BFD" w:rsidRDefault="00B54DF9" w:rsidP="00B54DF9">
      <w:pPr>
        <w:jc w:val="both"/>
      </w:pPr>
      <w:r w:rsidRPr="00427BFD">
        <w:t xml:space="preserve">U 2022. evidentirano je 3,3 milijuna kuna kamata za izdane trezorske zapise što je manje za 9,8  milijuna kuna u odnosu na 2021. Tijekom 2022. godine kamatne stope na izdane kunske trezorske zapise kretale su se od 0,01%  do 0,20%. Tako su kamatne stope na trezorske zapise u s rokom od 364 dana potkraj 2022. iznosile 0,20% u odnosu na isto razdoblje 2021., kada su iznosile 0,00%. Pored toga, kamatne stope na izdane trezorske zapise s rokom dospijeća od 91 i 182 dana krajem 2022. iznosile su 0,08% i 0,10%, dok je kamatna stopa na trezorske zapise s rokom dospijeća od 182 dana krajem prethodne godine iznosila 0,00%. Kamatne stope na trezorske zapise s valutnom klauzulom s rokom od 364 dana potkraj 2022. iznosile su -0,05% u odnosu na -0,15% iz 2021. Kamatne stope na </w:t>
      </w:r>
      <w:proofErr w:type="spellStart"/>
      <w:r w:rsidRPr="00427BFD">
        <w:t>eurske</w:t>
      </w:r>
      <w:proofErr w:type="spellEnd"/>
      <w:r w:rsidRPr="00427BFD">
        <w:t xml:space="preserve"> trezorske zapise (plative u eurima) s rokom dospijeća od 364 dana iznosile su 0,10% u 2022., dok je na isto izdanje u 2021. ostvarena kamatna stopa bila -0,05%.</w:t>
      </w:r>
    </w:p>
    <w:p w14:paraId="5DFC9BE2" w14:textId="77777777" w:rsidR="00B54DF9" w:rsidRPr="00427BFD" w:rsidRDefault="00B54DF9" w:rsidP="00B54DF9">
      <w:pPr>
        <w:jc w:val="both"/>
      </w:pPr>
    </w:p>
    <w:p w14:paraId="3EF51E3E" w14:textId="77777777" w:rsidR="00B54DF9" w:rsidRPr="00427BFD" w:rsidRDefault="00B54DF9" w:rsidP="00B54DF9">
      <w:pPr>
        <w:jc w:val="both"/>
      </w:pPr>
      <w:r w:rsidRPr="00427BFD">
        <w:t>Kamate za izdane domaće i inozemne obveznice u 2022. evidentirane su u iznosu od 6.078.025.572,83 kuna.</w:t>
      </w:r>
    </w:p>
    <w:p w14:paraId="5C961500" w14:textId="77777777" w:rsidR="00B54DF9" w:rsidRPr="00427BFD" w:rsidRDefault="00B54DF9" w:rsidP="00B54DF9">
      <w:pPr>
        <w:jc w:val="both"/>
      </w:pPr>
    </w:p>
    <w:p w14:paraId="04B09119" w14:textId="40F1388F" w:rsidR="00B54DF9" w:rsidRPr="00427BFD" w:rsidRDefault="00B54DF9" w:rsidP="00B54DF9">
      <w:pPr>
        <w:jc w:val="both"/>
      </w:pPr>
      <w:r w:rsidRPr="00427BFD">
        <w:t xml:space="preserve">Republika Hrvatska zastupana po Ministarstvu financija je 1. veljače 2022. godine donijela odluku o izdavanju obveznica uz plasman na domaćem tržištu kapitala u iznosu od 1 milijarde eura uz valutnu klauzulu. Obveznice su izdane po cijeni 98,943% nominalnog iznosa, uz nepromjenjivi kamatni kupon od 1,25% godišnje, što čini prinos do dospijeća od 1,39% godišnje. Kamatni kupon isplaćivat će se polugodišnje, a glavnica u cijelosti po dospijeću. Datum izdanja, odnosno uvrštenja obveznica u usluge </w:t>
      </w:r>
      <w:proofErr w:type="spellStart"/>
      <w:r w:rsidRPr="00427BFD">
        <w:t>depozitorija</w:t>
      </w:r>
      <w:proofErr w:type="spellEnd"/>
      <w:r w:rsidRPr="00427BFD">
        <w:t>, poravnanja i namire Središnjeg klirinškog depozitarnog društva d.d. je 4. veljače 2022., a dospijeće obveznica je 4. veljače 2030. Sredstva prikupljena ovim izdanjem upotrijebljena su primarno za otplatu obveznica u iznosu od 500 milijuna eura uz valutnu klauzulu, dospijeća 5. veljače 2022. i obveznica u nominalnom iznosu od 3 milijarde kuna dospijeća 7. veljače 2022. godine te za financiranje općih potreba državnog proračuna.</w:t>
      </w:r>
    </w:p>
    <w:p w14:paraId="0113A21D" w14:textId="77777777" w:rsidR="00B54DF9" w:rsidRPr="00427BFD" w:rsidRDefault="00B54DF9" w:rsidP="00B54DF9">
      <w:pPr>
        <w:jc w:val="both"/>
      </w:pPr>
    </w:p>
    <w:p w14:paraId="04BB155F" w14:textId="77777777" w:rsidR="00B54DF9" w:rsidRPr="00427BFD" w:rsidRDefault="00B54DF9" w:rsidP="00B54DF9">
      <w:pPr>
        <w:jc w:val="both"/>
      </w:pPr>
      <w:r w:rsidRPr="00427BFD">
        <w:t>U srpnju su uspješno realizirana izdanja dviju tranši obveznica na domaćem tržištu kapitala.  Obveznice u nominalnom iznosu od 400 milijuna eura uz valutnu klauzulu uplaćene su 15. srpnja 2022., a dospijeće im je 15. srpnja 2026. godine. Izdane su po cijeni 99,828% nominalnog iznosa, uz nepromjenjivi kamatni kupon od 2,125% godišnje, što čini prinos do dospijeća 2,17% godišnje.</w:t>
      </w:r>
    </w:p>
    <w:p w14:paraId="182F9436" w14:textId="0988F23D" w:rsidR="00B54DF9" w:rsidRPr="00427BFD" w:rsidRDefault="00B54DF9" w:rsidP="00B54DF9">
      <w:pPr>
        <w:jc w:val="both"/>
      </w:pPr>
      <w:r w:rsidRPr="00427BFD">
        <w:t xml:space="preserve">Obveznice dospijeća 15. srpnja 2032. godine izdane su u nominalnom iznosu od 800 milijuna eura uz valutnu klauzulu. Obveznice su izdane po cijeni 99,203% nominalnog iznosa, kamatni kupon je nepromjenjiv i iznosi 3,375% godišnje, što čini prinos do dospijeća 3,47% godišnje. Datum izdavanja, odnosno uvrštenja obveznica u usluge </w:t>
      </w:r>
      <w:proofErr w:type="spellStart"/>
      <w:r w:rsidRPr="00427BFD">
        <w:t>depozitorija</w:t>
      </w:r>
      <w:proofErr w:type="spellEnd"/>
      <w:r w:rsidRPr="00427BFD">
        <w:t xml:space="preserve">, poravnanja i namire Središnjeg klirinškog depozitarnog društva d.d. također je 15. srpnja 2022. godine. </w:t>
      </w:r>
    </w:p>
    <w:p w14:paraId="65C1D737" w14:textId="77777777" w:rsidR="00B54DF9" w:rsidRPr="00427BFD" w:rsidRDefault="00B54DF9" w:rsidP="00B54DF9">
      <w:pPr>
        <w:jc w:val="both"/>
      </w:pPr>
    </w:p>
    <w:p w14:paraId="7455A605" w14:textId="00BE343C" w:rsidR="00B54DF9" w:rsidRPr="00427BFD" w:rsidRDefault="00B54DF9" w:rsidP="00B54DF9">
      <w:pPr>
        <w:jc w:val="both"/>
      </w:pPr>
      <w:r w:rsidRPr="00427BFD">
        <w:t>Sredstva prikupljena ovim izdanjima obveznica većim dijelom su se koristila za refinanciranje postojećeg izdanja obveznica, dospijeća 22. srpnja 2022. godine, u ukupnom nominalnom iznosu od 1 milijarde eura. Ove desetogodišnje obveznice su izdane u srpnju 2011. godine uz nepromjenjivi kamatni kupon od 6,5% godišnje, što implicira uštedu na kamatama u približnom iznosu od 36 milijuna eura, promatrano na godišnjoj razini u odnosu na iznos refinanciranja.</w:t>
      </w:r>
    </w:p>
    <w:p w14:paraId="1BE69A12" w14:textId="77777777" w:rsidR="00B54DF9" w:rsidRPr="00427BFD" w:rsidRDefault="00B54DF9" w:rsidP="00B54DF9">
      <w:pPr>
        <w:jc w:val="both"/>
      </w:pPr>
    </w:p>
    <w:p w14:paraId="14CEF5D2" w14:textId="38AD19C7" w:rsidR="00B54DF9" w:rsidRPr="00427BFD" w:rsidRDefault="00B54DF9" w:rsidP="00B54DF9">
      <w:pPr>
        <w:jc w:val="both"/>
      </w:pPr>
      <w:r w:rsidRPr="00427BFD">
        <w:lastRenderedPageBreak/>
        <w:t xml:space="preserve">Republika Hrvatska je u travnju uspješno realizirala izdanje </w:t>
      </w:r>
      <w:proofErr w:type="spellStart"/>
      <w:r w:rsidRPr="00427BFD">
        <w:t>euroobveznica</w:t>
      </w:r>
      <w:proofErr w:type="spellEnd"/>
      <w:r w:rsidRPr="00427BFD">
        <w:t xml:space="preserve"> na međunarodnom financijskom tržištu u iznosu 1,25 milijardi eura. Ove desetogodišnje obveznice su izdane po cijeni od 99,146% nominalnog iznosa uz nepromjenjivi kamatni kupon od 2,875% godišnje, što čini prinos do dospijeća od 2,975%. Kamatni kupon će se isplaćivati jednom godišnje, a glavnica će se u cijelosti isplatiti po dospijeću. Obveznice su uplaćene 22. travnja 2022., a dospijeće obveznica je 22. travnja 2032. godine.</w:t>
      </w:r>
    </w:p>
    <w:p w14:paraId="63C2BE95" w14:textId="77777777" w:rsidR="00B54DF9" w:rsidRPr="00427BFD" w:rsidRDefault="00B54DF9" w:rsidP="00B54DF9">
      <w:pPr>
        <w:jc w:val="both"/>
      </w:pPr>
    </w:p>
    <w:p w14:paraId="62B93142" w14:textId="77777777" w:rsidR="00B54DF9" w:rsidRPr="00427BFD" w:rsidRDefault="00B54DF9" w:rsidP="00B54DF9">
      <w:pPr>
        <w:jc w:val="both"/>
      </w:pPr>
      <w:r w:rsidRPr="00427BFD">
        <w:t xml:space="preserve">Sredstva prikupljena ovim izdanjem iskorištena su za refinanciranje </w:t>
      </w:r>
      <w:proofErr w:type="spellStart"/>
      <w:r w:rsidRPr="00427BFD">
        <w:t>euroobveznica</w:t>
      </w:r>
      <w:proofErr w:type="spellEnd"/>
      <w:r w:rsidRPr="00427BFD">
        <w:t xml:space="preserve"> Republike Hrvatske nominalnog iznosa 1,25 milijardi eura, koje su nosile kamatu 3,875% i dospijeće im je bilo 30. svibnja 2022.</w:t>
      </w:r>
    </w:p>
    <w:p w14:paraId="75A3A51D" w14:textId="77777777" w:rsidR="00B54DF9" w:rsidRPr="00427BFD" w:rsidRDefault="00B54DF9" w:rsidP="00B54DF9">
      <w:pPr>
        <w:jc w:val="both"/>
      </w:pPr>
    </w:p>
    <w:p w14:paraId="22023835" w14:textId="77777777" w:rsidR="00B54DF9" w:rsidRPr="00427BFD" w:rsidRDefault="00B54DF9" w:rsidP="00B54DF9">
      <w:pPr>
        <w:jc w:val="both"/>
      </w:pPr>
      <w:r w:rsidRPr="00427BFD">
        <w:t xml:space="preserve">Kamate za primljene kredite i zajmove od kreditnih i ostalih financijskih institucija izvan javnog sektora u 2022. godini iznosile su 187 milijuna kuna. </w:t>
      </w:r>
    </w:p>
    <w:p w14:paraId="4A3307AB" w14:textId="77777777" w:rsidR="00B54DF9" w:rsidRPr="00427BFD" w:rsidRDefault="00B54DF9" w:rsidP="00B54DF9">
      <w:pPr>
        <w:jc w:val="both"/>
      </w:pPr>
    </w:p>
    <w:p w14:paraId="22BA10BA" w14:textId="77777777" w:rsidR="00B54DF9" w:rsidRPr="00427BFD" w:rsidRDefault="00B54DF9" w:rsidP="00214409">
      <w:pPr>
        <w:jc w:val="both"/>
      </w:pPr>
      <w:r w:rsidRPr="00427BFD">
        <w:t>Republika Hrvatska se u ožujku zadužila na domaćem financijskom tržištu u iznosu 360 milijuna eura uz valutnu klauzulu te uz promjenjivu kamatu, koja je jednaka zbroju šestomjesečnog EURIBOR-a i marže u iznosu od 0,45% godišnje.  U istom mjesecu Republika Hrvatska se zadužila na domaćem financijskom tržištu u iznosu 200 milijuna eura, uz valutnu klauzulu te uz promjenjivu kamatu u visini šestomjesečnog EURIBOR-a uvećano za kamatnu maržu od 0,27% godišnje.</w:t>
      </w:r>
    </w:p>
    <w:p w14:paraId="57206EBC" w14:textId="77777777" w:rsidR="00B54DF9" w:rsidRPr="00427BFD" w:rsidRDefault="00B54DF9" w:rsidP="00214409">
      <w:pPr>
        <w:jc w:val="both"/>
      </w:pPr>
    </w:p>
    <w:p w14:paraId="124500DC" w14:textId="77777777" w:rsidR="00B54DF9" w:rsidRPr="00427BFD" w:rsidRDefault="00B54DF9" w:rsidP="00214409">
      <w:pPr>
        <w:jc w:val="both"/>
      </w:pPr>
      <w:r w:rsidRPr="00427BFD">
        <w:t>Također u ožujku, Republika Hrvatska se zadužila na domaćem financijskom tržištu u iznosu 120 milijuna eura, uz valutnu klauzulu te uz fiksnu kamatnu stopu 0,50% godišnje.</w:t>
      </w:r>
    </w:p>
    <w:p w14:paraId="7C3EB43C" w14:textId="77777777" w:rsidR="00B54DF9" w:rsidRPr="00427BFD" w:rsidRDefault="00B54DF9" w:rsidP="00214409">
      <w:pPr>
        <w:jc w:val="both"/>
      </w:pPr>
    </w:p>
    <w:p w14:paraId="0C956A78" w14:textId="4F59DDF5" w:rsidR="00B54DF9" w:rsidRPr="00427BFD" w:rsidRDefault="00B54DF9" w:rsidP="00214409">
      <w:pPr>
        <w:jc w:val="both"/>
      </w:pPr>
      <w:r w:rsidRPr="00427BFD">
        <w:t>U prosincu se Republika Hrvatska zadužila na domaćem financijskom tržištu u iznosu 150 milijuna eura, uz valutnu klauzulu te promjenjiv</w:t>
      </w:r>
      <w:r w:rsidR="004C528C">
        <w:t>u</w:t>
      </w:r>
      <w:r w:rsidRPr="00427BFD">
        <w:t xml:space="preserve"> kamatnu stopu jednaku zbroju šestomjesečnog EURIBOR-a i marže u iznosu od 0,13% godišnje.</w:t>
      </w:r>
    </w:p>
    <w:p w14:paraId="5B223D0F" w14:textId="77777777" w:rsidR="00B54DF9" w:rsidRPr="00427BFD" w:rsidRDefault="00B54DF9" w:rsidP="00214409">
      <w:pPr>
        <w:jc w:val="both"/>
      </w:pPr>
    </w:p>
    <w:p w14:paraId="4B8D3C85" w14:textId="77777777" w:rsidR="00B54DF9" w:rsidRPr="00427BFD" w:rsidRDefault="00B54DF9" w:rsidP="00214409">
      <w:pPr>
        <w:jc w:val="both"/>
      </w:pPr>
      <w:r w:rsidRPr="00427BFD">
        <w:t>Također u prosincu Republika Hrvatska se zadužila na domaćem financijskom tržištu u iznosu 200 milijuna eura, uz valutnu klauzulu te fiksnu kamatnu stopu 2,904% godišnje.</w:t>
      </w:r>
    </w:p>
    <w:p w14:paraId="26C333CC" w14:textId="77777777" w:rsidR="00AB5457" w:rsidRPr="00427BFD" w:rsidRDefault="00AB5457" w:rsidP="00214409">
      <w:pPr>
        <w:jc w:val="both"/>
      </w:pPr>
    </w:p>
    <w:p w14:paraId="688A861E" w14:textId="00EC6F9D" w:rsidR="007E2B44" w:rsidRPr="00427BFD" w:rsidRDefault="00792BA8" w:rsidP="007E2B44">
      <w:pPr>
        <w:pStyle w:val="Naslov"/>
        <w:keepNext/>
        <w:rPr>
          <w:b w:val="0"/>
          <w:bCs w:val="0"/>
        </w:rPr>
      </w:pPr>
      <w:r w:rsidRPr="00427BFD">
        <w:rPr>
          <w:b w:val="0"/>
          <w:bCs w:val="0"/>
        </w:rPr>
        <w:t xml:space="preserve">Bilješka </w:t>
      </w:r>
      <w:r w:rsidR="006618C2" w:rsidRPr="00427BFD">
        <w:rPr>
          <w:b w:val="0"/>
          <w:bCs w:val="0"/>
        </w:rPr>
        <w:t>24</w:t>
      </w:r>
      <w:r w:rsidR="007E2B44" w:rsidRPr="00427BFD">
        <w:rPr>
          <w:b w:val="0"/>
          <w:bCs w:val="0"/>
        </w:rPr>
        <w:t>.</w:t>
      </w:r>
    </w:p>
    <w:p w14:paraId="254817AC" w14:textId="79848500" w:rsidR="007E2B44" w:rsidRPr="00427BFD" w:rsidRDefault="00C25567" w:rsidP="007E2B44">
      <w:pPr>
        <w:pStyle w:val="Naslov"/>
        <w:keepNext/>
        <w:rPr>
          <w:b w:val="0"/>
          <w:bCs w:val="0"/>
        </w:rPr>
      </w:pPr>
      <w:r w:rsidRPr="00427BFD">
        <w:rPr>
          <w:b w:val="0"/>
          <w:bCs w:val="0"/>
        </w:rPr>
        <w:t>Šifra 34</w:t>
      </w:r>
      <w:r w:rsidR="00D34B2E" w:rsidRPr="00427BFD">
        <w:rPr>
          <w:b w:val="0"/>
          <w:bCs w:val="0"/>
        </w:rPr>
        <w:t>3</w:t>
      </w:r>
      <w:r w:rsidRPr="00427BFD">
        <w:rPr>
          <w:b w:val="0"/>
          <w:bCs w:val="0"/>
        </w:rPr>
        <w:t>2</w:t>
      </w:r>
      <w:r w:rsidR="00D34B2E" w:rsidRPr="00427BFD">
        <w:rPr>
          <w:b w:val="0"/>
          <w:bCs w:val="0"/>
        </w:rPr>
        <w:t xml:space="preserve"> </w:t>
      </w:r>
      <w:r w:rsidR="007E2B44" w:rsidRPr="00427BFD">
        <w:rPr>
          <w:b w:val="0"/>
          <w:bCs w:val="0"/>
        </w:rPr>
        <w:t>Negativne tečajne razlike i razlike zbog primjene valutne klauzule</w:t>
      </w:r>
    </w:p>
    <w:p w14:paraId="70E56989" w14:textId="77777777" w:rsidR="008317D7" w:rsidRPr="00427BFD" w:rsidRDefault="008317D7" w:rsidP="008317D7">
      <w:pPr>
        <w:shd w:val="clear" w:color="auto" w:fill="FFFFFF"/>
        <w:rPr>
          <w:rFonts w:ascii="Calibri" w:hAnsi="Calibri" w:cs="Calibri"/>
          <w:color w:val="212121"/>
        </w:rPr>
      </w:pPr>
    </w:p>
    <w:p w14:paraId="2C0E937F" w14:textId="6DA604B4" w:rsidR="008317D7" w:rsidRPr="00427BFD" w:rsidRDefault="008317D7" w:rsidP="008317D7">
      <w:pPr>
        <w:jc w:val="both"/>
      </w:pPr>
      <w:r w:rsidRPr="00427BFD">
        <w:t xml:space="preserve">Tijekom 2022. godine negativne tečajne razlike i razlike od valutne klauzule po otplatama kredita i zajmova značajnije su manje od razlika po otplatama kredita i zajmova u 2021. godini zbog razlika u odnosima stranih valuta u odnosu na </w:t>
      </w:r>
      <w:r w:rsidR="009F230F" w:rsidRPr="00427BFD">
        <w:t>kunu</w:t>
      </w:r>
      <w:r w:rsidRPr="00427BFD">
        <w:t>.</w:t>
      </w:r>
    </w:p>
    <w:p w14:paraId="38536E6C" w14:textId="3D4490BD" w:rsidR="008317D7" w:rsidRPr="00427BFD" w:rsidRDefault="008317D7" w:rsidP="008317D7">
      <w:pPr>
        <w:shd w:val="clear" w:color="auto" w:fill="FFFFFF"/>
        <w:rPr>
          <w:rFonts w:ascii="Calibri" w:hAnsi="Calibri" w:cs="Calibri"/>
          <w:color w:val="212121"/>
        </w:rPr>
      </w:pPr>
    </w:p>
    <w:p w14:paraId="73C00969" w14:textId="5F422B16" w:rsidR="008317D7" w:rsidRPr="00427BFD" w:rsidRDefault="008317D7" w:rsidP="008317D7">
      <w:pPr>
        <w:jc w:val="both"/>
      </w:pPr>
      <w:r w:rsidRPr="00427BFD">
        <w:t xml:space="preserve">Najveći utjecaj na smanjenje </w:t>
      </w:r>
      <w:r w:rsidR="004F6F1B" w:rsidRPr="00427BFD">
        <w:t>ovih</w:t>
      </w:r>
      <w:r w:rsidRPr="00427BFD">
        <w:t xml:space="preserve"> rashoda </w:t>
      </w:r>
      <w:r w:rsidR="004F6F1B" w:rsidRPr="00427BFD">
        <w:t>proizlazi iz toga</w:t>
      </w:r>
      <w:r w:rsidRPr="00427BFD">
        <w:t xml:space="preserve"> š</w:t>
      </w:r>
      <w:r w:rsidR="004F6F1B" w:rsidRPr="00427BFD">
        <w:t>to je u 2021. godini na dan 31.</w:t>
      </w:r>
      <w:r w:rsidRPr="00427BFD">
        <w:t xml:space="preserve">3.2021. isplaćena glavnica </w:t>
      </w:r>
      <w:proofErr w:type="spellStart"/>
      <w:r w:rsidRPr="00427BFD">
        <w:t>euroobveznica</w:t>
      </w:r>
      <w:proofErr w:type="spellEnd"/>
      <w:r w:rsidRPr="00427BFD">
        <w:t xml:space="preserve"> denominiranih u </w:t>
      </w:r>
      <w:r w:rsidR="004F6F1B" w:rsidRPr="00427BFD">
        <w:t>američkom dolaru</w:t>
      </w:r>
      <w:r w:rsidRPr="00427BFD">
        <w:t xml:space="preserve"> pri čemu je negativna tečajna razlika u nominalnom iznosu iznosila 402.246.486,48 </w:t>
      </w:r>
      <w:r w:rsidR="004F6F1B" w:rsidRPr="00427BFD">
        <w:t>kuna</w:t>
      </w:r>
      <w:r w:rsidRPr="00427BFD">
        <w:t xml:space="preserve">.  Tijekom 2021. godine </w:t>
      </w:r>
      <w:r w:rsidR="004F6F1B" w:rsidRPr="00427BFD">
        <w:t>američki dolar</w:t>
      </w:r>
      <w:r w:rsidRPr="00427BFD">
        <w:t xml:space="preserve"> je snažno aprecirao  u odnosnu na </w:t>
      </w:r>
      <w:r w:rsidR="004F6F1B" w:rsidRPr="00427BFD">
        <w:t>euro</w:t>
      </w:r>
      <w:r w:rsidRPr="00427BFD">
        <w:t xml:space="preserve"> što se odrazilo značajno na rashode od negativnih tečajnih razlika u 2021. godini.</w:t>
      </w:r>
    </w:p>
    <w:p w14:paraId="2935FBBB" w14:textId="77777777" w:rsidR="008317D7" w:rsidRPr="00427BFD" w:rsidRDefault="008317D7" w:rsidP="008317D7">
      <w:pPr>
        <w:shd w:val="clear" w:color="auto" w:fill="FFFFFF"/>
        <w:rPr>
          <w:rFonts w:ascii="Calibri" w:hAnsi="Calibri" w:cs="Calibri"/>
          <w:color w:val="212121"/>
        </w:rPr>
      </w:pPr>
    </w:p>
    <w:p w14:paraId="1706EEB5" w14:textId="76A57532" w:rsidR="008317D7" w:rsidRPr="00427BFD" w:rsidRDefault="008317D7" w:rsidP="008317D7">
      <w:pPr>
        <w:jc w:val="both"/>
      </w:pPr>
      <w:r w:rsidRPr="00427BFD">
        <w:t xml:space="preserve">U 2022. godini značajniji iznos </w:t>
      </w:r>
      <w:r w:rsidR="004F6F1B" w:rsidRPr="00427BFD">
        <w:t>negativnih tečajnih</w:t>
      </w:r>
      <w:r w:rsidRPr="00427BFD">
        <w:t xml:space="preserve"> razlika iznosi u nominalnom iznosu 55.760.692,63 </w:t>
      </w:r>
      <w:r w:rsidR="004F6F1B" w:rsidRPr="00427BFD">
        <w:t>kune</w:t>
      </w:r>
      <w:r w:rsidRPr="00427BFD">
        <w:t xml:space="preserve">, a odnosi se na iskazane negativne tečajne razlike po plaćenim računima. Navedeno je u korelaciji povećanja plaćanja obveza  u inozemnim valutama u 2022. godini CAD, USD, GBP, </w:t>
      </w:r>
      <w:r w:rsidR="004F6F1B" w:rsidRPr="00427BFD">
        <w:t>EUR, NOK, CHF</w:t>
      </w:r>
      <w:r w:rsidRPr="00427BFD">
        <w:t>.</w:t>
      </w:r>
    </w:p>
    <w:p w14:paraId="2F05B50F" w14:textId="60915CD8" w:rsidR="0057043D" w:rsidRPr="00427BFD" w:rsidRDefault="0057043D" w:rsidP="0057043D">
      <w:pPr>
        <w:shd w:val="clear" w:color="auto" w:fill="FFFFFF"/>
        <w:jc w:val="both"/>
        <w:rPr>
          <w:color w:val="000000"/>
        </w:rPr>
      </w:pPr>
    </w:p>
    <w:p w14:paraId="2CD4031A" w14:textId="47E4B131" w:rsidR="0057043D" w:rsidRPr="00427BFD" w:rsidRDefault="0057043D" w:rsidP="0057043D">
      <w:pPr>
        <w:shd w:val="clear" w:color="auto" w:fill="FFFFFF"/>
        <w:jc w:val="center"/>
        <w:rPr>
          <w:sz w:val="28"/>
        </w:rPr>
      </w:pPr>
      <w:r w:rsidRPr="00427BFD">
        <w:rPr>
          <w:sz w:val="28"/>
        </w:rPr>
        <w:t xml:space="preserve">Bilješka </w:t>
      </w:r>
      <w:r w:rsidR="006618C2" w:rsidRPr="00427BFD">
        <w:rPr>
          <w:sz w:val="28"/>
        </w:rPr>
        <w:t>25.</w:t>
      </w:r>
    </w:p>
    <w:p w14:paraId="08FFCE74" w14:textId="059E8153" w:rsidR="0057043D" w:rsidRPr="00427BFD" w:rsidRDefault="0057043D" w:rsidP="0057043D">
      <w:pPr>
        <w:shd w:val="clear" w:color="auto" w:fill="FFFFFF"/>
        <w:jc w:val="center"/>
        <w:rPr>
          <w:sz w:val="28"/>
        </w:rPr>
      </w:pPr>
      <w:r w:rsidRPr="00427BFD">
        <w:rPr>
          <w:sz w:val="28"/>
        </w:rPr>
        <w:lastRenderedPageBreak/>
        <w:t>Šifra 3433 Zatezne kamate</w:t>
      </w:r>
    </w:p>
    <w:p w14:paraId="7D255AF5" w14:textId="30623DC0" w:rsidR="0057043D" w:rsidRPr="00427BFD" w:rsidRDefault="00FF3A8C" w:rsidP="0062530D">
      <w:pPr>
        <w:shd w:val="clear" w:color="auto" w:fill="FFFFFF"/>
        <w:jc w:val="both"/>
        <w:rPr>
          <w:color w:val="000000"/>
        </w:rPr>
      </w:pPr>
      <w:r w:rsidRPr="00427BFD">
        <w:rPr>
          <w:color w:val="000000"/>
        </w:rPr>
        <w:t>U 2022. godini izvršeno je 1.726.537,18 kuna rashoda za zatezne kamate. Navedeni iznos odnosi se na zatezne kamate vezano uz plaćanje doprinosa Republike Hrvatske proračunu Europske unije na temelju tradicionalnih vlastitih sredstava. Predmetne kamate plaćene su u slučajevima u kojima je Europska komisija u inspekcijama utvrdila određene iznose carinskih davanja koji su trebali biti plaćeni u proračun EU-a, a nisu bili pravovremeno uključeni u prethodna izvješća za plaćanja.</w:t>
      </w:r>
    </w:p>
    <w:p w14:paraId="245952C4" w14:textId="77777777" w:rsidR="0057043D" w:rsidRPr="00427BFD" w:rsidRDefault="0057043D" w:rsidP="0062530D">
      <w:pPr>
        <w:shd w:val="clear" w:color="auto" w:fill="FFFFFF"/>
        <w:jc w:val="both"/>
        <w:rPr>
          <w:color w:val="000000"/>
        </w:rPr>
      </w:pPr>
    </w:p>
    <w:p w14:paraId="79DC0DBF" w14:textId="17813772" w:rsidR="007E2B44" w:rsidRPr="00427BFD" w:rsidRDefault="00792BA8" w:rsidP="007E2B44">
      <w:pPr>
        <w:pStyle w:val="Naslov"/>
        <w:keepNext/>
        <w:rPr>
          <w:b w:val="0"/>
          <w:bCs w:val="0"/>
        </w:rPr>
      </w:pPr>
      <w:r w:rsidRPr="00427BFD">
        <w:rPr>
          <w:b w:val="0"/>
          <w:bCs w:val="0"/>
        </w:rPr>
        <w:t xml:space="preserve">Bilješka </w:t>
      </w:r>
      <w:r w:rsidR="006618C2" w:rsidRPr="00427BFD">
        <w:rPr>
          <w:b w:val="0"/>
          <w:bCs w:val="0"/>
        </w:rPr>
        <w:t>26</w:t>
      </w:r>
      <w:r w:rsidR="007E2B44" w:rsidRPr="00427BFD">
        <w:rPr>
          <w:b w:val="0"/>
          <w:bCs w:val="0"/>
        </w:rPr>
        <w:t>.</w:t>
      </w:r>
    </w:p>
    <w:p w14:paraId="0A083FB7" w14:textId="2C717A67" w:rsidR="007E2B44" w:rsidRPr="00427BFD" w:rsidRDefault="00D34B2E" w:rsidP="007E2B44">
      <w:pPr>
        <w:pStyle w:val="Naslov"/>
        <w:keepNext/>
        <w:rPr>
          <w:b w:val="0"/>
          <w:bCs w:val="0"/>
        </w:rPr>
      </w:pPr>
      <w:r w:rsidRPr="00427BFD">
        <w:rPr>
          <w:b w:val="0"/>
          <w:bCs w:val="0"/>
        </w:rPr>
        <w:t xml:space="preserve">Šifra 3434 </w:t>
      </w:r>
      <w:r w:rsidR="007E2B44" w:rsidRPr="00427BFD">
        <w:rPr>
          <w:b w:val="0"/>
          <w:bCs w:val="0"/>
        </w:rPr>
        <w:t>Ostali nespomenuti financijski rashodi</w:t>
      </w:r>
    </w:p>
    <w:p w14:paraId="79811589" w14:textId="3B3F5736" w:rsidR="007E2B44" w:rsidRPr="00427BFD" w:rsidRDefault="00A66D0F" w:rsidP="007E2B44">
      <w:pPr>
        <w:pStyle w:val="Naslov"/>
        <w:keepNext/>
        <w:jc w:val="both"/>
        <w:rPr>
          <w:b w:val="0"/>
          <w:bCs w:val="0"/>
          <w:sz w:val="24"/>
        </w:rPr>
      </w:pPr>
      <w:r w:rsidRPr="00427BFD">
        <w:rPr>
          <w:b w:val="0"/>
          <w:bCs w:val="0"/>
          <w:sz w:val="24"/>
        </w:rPr>
        <w:t>U 2022</w:t>
      </w:r>
      <w:r w:rsidR="007E2B44" w:rsidRPr="00427BFD">
        <w:rPr>
          <w:b w:val="0"/>
          <w:bCs w:val="0"/>
          <w:sz w:val="24"/>
        </w:rPr>
        <w:t xml:space="preserve">. </w:t>
      </w:r>
      <w:r w:rsidR="00B50A47" w:rsidRPr="00427BFD">
        <w:rPr>
          <w:b w:val="0"/>
          <w:bCs w:val="0"/>
          <w:sz w:val="24"/>
        </w:rPr>
        <w:t xml:space="preserve">godini </w:t>
      </w:r>
      <w:r w:rsidR="007E2B44" w:rsidRPr="00427BFD">
        <w:rPr>
          <w:b w:val="0"/>
          <w:bCs w:val="0"/>
          <w:sz w:val="24"/>
        </w:rPr>
        <w:t xml:space="preserve">ostali nespomenuti rashodi ostvareni su u iznosu </w:t>
      </w:r>
      <w:r w:rsidRPr="00427BFD">
        <w:rPr>
          <w:b w:val="0"/>
          <w:bCs w:val="0"/>
          <w:sz w:val="24"/>
        </w:rPr>
        <w:t xml:space="preserve">296.246.796,90 kuna, što je 5,5 </w:t>
      </w:r>
      <w:r w:rsidR="008553E4" w:rsidRPr="00427BFD">
        <w:rPr>
          <w:b w:val="0"/>
          <w:bCs w:val="0"/>
          <w:sz w:val="24"/>
        </w:rPr>
        <w:t xml:space="preserve">% </w:t>
      </w:r>
      <w:r w:rsidRPr="00427BFD">
        <w:rPr>
          <w:b w:val="0"/>
          <w:bCs w:val="0"/>
          <w:sz w:val="24"/>
        </w:rPr>
        <w:t>više u odnosu na ostvarenje u 2021</w:t>
      </w:r>
      <w:r w:rsidR="008553E4" w:rsidRPr="00427BFD">
        <w:rPr>
          <w:b w:val="0"/>
          <w:bCs w:val="0"/>
          <w:sz w:val="24"/>
        </w:rPr>
        <w:t xml:space="preserve">. godini kada su navedeni rashodi iznosili </w:t>
      </w:r>
      <w:r w:rsidRPr="00427BFD">
        <w:rPr>
          <w:b w:val="0"/>
          <w:bCs w:val="0"/>
          <w:sz w:val="24"/>
        </w:rPr>
        <w:t>280.867.068 kuna. Na navedenoj Šifri</w:t>
      </w:r>
      <w:r w:rsidR="008553E4" w:rsidRPr="00427BFD">
        <w:rPr>
          <w:b w:val="0"/>
          <w:bCs w:val="0"/>
          <w:sz w:val="24"/>
        </w:rPr>
        <w:t xml:space="preserve"> evidentiraju se svi troškovi vezani za zaduživanja na domaćem i inozemnom tržištu. Između ostalog, tu su evidentirani troškovi voditelja izdanja obveznica na domaćem i inozemnom tržištu, troškovi uključivanja v</w:t>
      </w:r>
      <w:r w:rsidR="004C528C">
        <w:rPr>
          <w:b w:val="0"/>
          <w:bCs w:val="0"/>
          <w:sz w:val="24"/>
        </w:rPr>
        <w:t>rijednosnih papira na Zagrebačku</w:t>
      </w:r>
      <w:r w:rsidR="008553E4" w:rsidRPr="00427BFD">
        <w:rPr>
          <w:b w:val="0"/>
          <w:bCs w:val="0"/>
          <w:sz w:val="24"/>
        </w:rPr>
        <w:t xml:space="preserve"> burzu, troškovi rejting agencijama, troškovi deponiranja vrijednosnih papi</w:t>
      </w:r>
      <w:r w:rsidRPr="00427BFD">
        <w:rPr>
          <w:b w:val="0"/>
          <w:bCs w:val="0"/>
          <w:sz w:val="24"/>
        </w:rPr>
        <w:t>ra u SKDD i sl. Također, na ovoj</w:t>
      </w:r>
      <w:r w:rsidR="008553E4" w:rsidRPr="00427BFD">
        <w:rPr>
          <w:b w:val="0"/>
          <w:bCs w:val="0"/>
          <w:sz w:val="24"/>
        </w:rPr>
        <w:t xml:space="preserve"> </w:t>
      </w:r>
      <w:r w:rsidRPr="00427BFD">
        <w:rPr>
          <w:b w:val="0"/>
          <w:bCs w:val="0"/>
          <w:sz w:val="24"/>
        </w:rPr>
        <w:t>Šifri</w:t>
      </w:r>
      <w:r w:rsidR="008553E4" w:rsidRPr="00427BFD">
        <w:rPr>
          <w:b w:val="0"/>
          <w:bCs w:val="0"/>
          <w:sz w:val="24"/>
        </w:rPr>
        <w:t xml:space="preserve"> je evidentiran alikvotni dio obveznica izdanih uz diskont.</w:t>
      </w:r>
    </w:p>
    <w:p w14:paraId="405B61C2" w14:textId="2396B33E" w:rsidR="0062530D" w:rsidRPr="00427BFD" w:rsidRDefault="0062530D" w:rsidP="007E2B44">
      <w:pPr>
        <w:pStyle w:val="Naslov"/>
        <w:keepNext/>
        <w:jc w:val="both"/>
        <w:rPr>
          <w:b w:val="0"/>
          <w:bCs w:val="0"/>
          <w:sz w:val="24"/>
        </w:rPr>
      </w:pPr>
    </w:p>
    <w:p w14:paraId="010EC756" w14:textId="14E1E741" w:rsidR="00434E88" w:rsidRPr="00427BFD" w:rsidRDefault="00434E88" w:rsidP="00434E88">
      <w:pPr>
        <w:pStyle w:val="Naslov"/>
        <w:keepNext/>
        <w:rPr>
          <w:b w:val="0"/>
          <w:bCs w:val="0"/>
        </w:rPr>
      </w:pPr>
      <w:r w:rsidRPr="00427BFD">
        <w:rPr>
          <w:b w:val="0"/>
          <w:bCs w:val="0"/>
        </w:rPr>
        <w:t xml:space="preserve">Bilješka </w:t>
      </w:r>
      <w:r w:rsidR="006618C2" w:rsidRPr="00427BFD">
        <w:rPr>
          <w:b w:val="0"/>
          <w:bCs w:val="0"/>
        </w:rPr>
        <w:t>27</w:t>
      </w:r>
      <w:r w:rsidRPr="00427BFD">
        <w:rPr>
          <w:b w:val="0"/>
          <w:bCs w:val="0"/>
        </w:rPr>
        <w:t xml:space="preserve">. </w:t>
      </w:r>
    </w:p>
    <w:p w14:paraId="2F01DC79" w14:textId="77777777" w:rsidR="00434E88" w:rsidRPr="00427BFD" w:rsidRDefault="00434E88" w:rsidP="00434E88">
      <w:pPr>
        <w:pStyle w:val="Naslov"/>
        <w:keepNext/>
        <w:rPr>
          <w:b w:val="0"/>
          <w:bCs w:val="0"/>
        </w:rPr>
      </w:pPr>
      <w:r w:rsidRPr="00427BFD">
        <w:rPr>
          <w:b w:val="0"/>
          <w:bCs w:val="0"/>
        </w:rPr>
        <w:t xml:space="preserve">Šifra 3521 Subvencije kreditnim i ostalim financijskim institucijama izvan javnog sektora </w:t>
      </w:r>
    </w:p>
    <w:p w14:paraId="46D9D8C4" w14:textId="63F56E91" w:rsidR="00EC26EF" w:rsidRPr="00427BFD" w:rsidRDefault="00EC26EF" w:rsidP="00434E88">
      <w:pPr>
        <w:pStyle w:val="Naslov"/>
        <w:keepNext/>
        <w:jc w:val="both"/>
        <w:rPr>
          <w:b w:val="0"/>
          <w:sz w:val="24"/>
        </w:rPr>
      </w:pPr>
      <w:r w:rsidRPr="00427BFD">
        <w:rPr>
          <w:b w:val="0"/>
          <w:sz w:val="24"/>
        </w:rPr>
        <w:t>U 2022. godini za povlašteno financiranje po kreditnim programima HBOR-a isplaćene su subvencije kreditnim i ostalim financijskim institucijama izvan javnog sektora u iznosu od 189.000.000</w:t>
      </w:r>
      <w:r w:rsidR="00476098" w:rsidRPr="00427BFD">
        <w:rPr>
          <w:b w:val="0"/>
          <w:sz w:val="24"/>
        </w:rPr>
        <w:t>,00</w:t>
      </w:r>
      <w:r w:rsidRPr="00427BFD">
        <w:rPr>
          <w:b w:val="0"/>
          <w:sz w:val="24"/>
        </w:rPr>
        <w:t xml:space="preserve"> kuna što je za 170 % više u odnosu na izvršene rashode u 2021. godini.</w:t>
      </w:r>
    </w:p>
    <w:p w14:paraId="3E9B788B" w14:textId="77777777" w:rsidR="00EC26EF" w:rsidRPr="00427BFD" w:rsidRDefault="00EC26EF" w:rsidP="00434E88">
      <w:pPr>
        <w:pStyle w:val="Naslov"/>
        <w:keepNext/>
        <w:jc w:val="both"/>
        <w:rPr>
          <w:b w:val="0"/>
          <w:sz w:val="24"/>
        </w:rPr>
      </w:pPr>
    </w:p>
    <w:p w14:paraId="28EE34B5" w14:textId="6874D793" w:rsidR="00EC26EF" w:rsidRPr="00427BFD" w:rsidRDefault="00434E88" w:rsidP="00434E88">
      <w:pPr>
        <w:pStyle w:val="Naslov"/>
        <w:keepNext/>
        <w:jc w:val="both"/>
        <w:rPr>
          <w:b w:val="0"/>
          <w:sz w:val="24"/>
        </w:rPr>
      </w:pPr>
      <w:r w:rsidRPr="00427BFD">
        <w:rPr>
          <w:b w:val="0"/>
          <w:sz w:val="24"/>
        </w:rPr>
        <w:t xml:space="preserve">Temeljem Ugovora o nalogu za obavljanje poslova povlaštenog financiranja po kreditnim programima HBOR-a, HBOR u ime i za račun Republike Hrvatske vodi Fond sredstava za povlašteno financiranje po kreditnim programima HBOR-a, namijenjen subvencioniranju kamatnih stopa kojim se iz sredstava državnog proračuna omogućava kreditiranje hrvatskog gospodarstva po nižim kamatnim stopama. </w:t>
      </w:r>
    </w:p>
    <w:p w14:paraId="7AFAB57F" w14:textId="5EA653D7" w:rsidR="00434E88" w:rsidRPr="00427BFD" w:rsidRDefault="00434E88" w:rsidP="00434E88">
      <w:pPr>
        <w:pStyle w:val="Naslov"/>
        <w:keepNext/>
        <w:jc w:val="both"/>
        <w:rPr>
          <w:b w:val="0"/>
          <w:sz w:val="24"/>
        </w:rPr>
      </w:pPr>
    </w:p>
    <w:p w14:paraId="4E9CAF0D" w14:textId="740AF759" w:rsidR="0062530D" w:rsidRPr="00427BFD" w:rsidRDefault="0062530D" w:rsidP="0062530D">
      <w:pPr>
        <w:pStyle w:val="Naslov"/>
        <w:keepNext/>
        <w:rPr>
          <w:b w:val="0"/>
          <w:bCs w:val="0"/>
        </w:rPr>
      </w:pPr>
      <w:r w:rsidRPr="00427BFD">
        <w:rPr>
          <w:b w:val="0"/>
          <w:bCs w:val="0"/>
        </w:rPr>
        <w:t>Bilješka</w:t>
      </w:r>
      <w:r w:rsidR="006618C2" w:rsidRPr="00427BFD">
        <w:rPr>
          <w:b w:val="0"/>
          <w:bCs w:val="0"/>
        </w:rPr>
        <w:t xml:space="preserve"> 28.</w:t>
      </w:r>
    </w:p>
    <w:p w14:paraId="6BF46960" w14:textId="5E049BBC" w:rsidR="0062530D" w:rsidRPr="00427BFD" w:rsidRDefault="00FC6587" w:rsidP="0062530D">
      <w:pPr>
        <w:pStyle w:val="Naslov"/>
        <w:keepNext/>
        <w:rPr>
          <w:b w:val="0"/>
          <w:bCs w:val="0"/>
        </w:rPr>
      </w:pPr>
      <w:r w:rsidRPr="00427BFD">
        <w:rPr>
          <w:b w:val="0"/>
          <w:bCs w:val="0"/>
        </w:rPr>
        <w:t xml:space="preserve">Šifra 3512 Subvencije trgovačkim društvima u javnom sektoru, </w:t>
      </w:r>
      <w:r w:rsidR="00CE06EC" w:rsidRPr="00427BFD">
        <w:rPr>
          <w:b w:val="0"/>
          <w:bCs w:val="0"/>
        </w:rPr>
        <w:t>Šifra 352</w:t>
      </w:r>
      <w:r w:rsidR="0062530D" w:rsidRPr="00427BFD">
        <w:rPr>
          <w:b w:val="0"/>
          <w:bCs w:val="0"/>
        </w:rPr>
        <w:t xml:space="preserve">2 Subvencije trgovačkim društvima </w:t>
      </w:r>
      <w:r w:rsidR="00CE06EC" w:rsidRPr="00427BFD">
        <w:rPr>
          <w:b w:val="0"/>
          <w:bCs w:val="0"/>
        </w:rPr>
        <w:t>i zadrugama izvan javnog sektora</w:t>
      </w:r>
    </w:p>
    <w:p w14:paraId="440CC07D" w14:textId="6EFDC92B" w:rsidR="00CC1B44" w:rsidRPr="00427BFD" w:rsidRDefault="00CC1B44" w:rsidP="00CC1B44">
      <w:pPr>
        <w:jc w:val="both"/>
      </w:pPr>
      <w:r w:rsidRPr="00427BFD">
        <w:t>U 2022. godini HBOR, Ministarstvo financija, kao tijelo nadležno za koordinaciju praćenja provedbe NPOO-a 2021.-2026., i Ministarstvo gospodarstva i održivog razvoja, kao tijelo nadležno za komponentu/</w:t>
      </w:r>
      <w:proofErr w:type="spellStart"/>
      <w:r w:rsidRPr="00427BFD">
        <w:t>podkomponentu</w:t>
      </w:r>
      <w:proofErr w:type="spellEnd"/>
      <w:r w:rsidRPr="00427BFD">
        <w:t xml:space="preserve"> NPOO-a 2021.-2026., sklopili su</w:t>
      </w:r>
      <w:r w:rsidR="008A1C1A" w:rsidRPr="00427BFD">
        <w:t>:</w:t>
      </w:r>
    </w:p>
    <w:p w14:paraId="1E1D7BBA" w14:textId="1089E35A" w:rsidR="00CC1B44" w:rsidRPr="00427BFD" w:rsidRDefault="00CC1B44" w:rsidP="0021617F">
      <w:pPr>
        <w:pStyle w:val="Odlomakpopisa"/>
        <w:numPr>
          <w:ilvl w:val="0"/>
          <w:numId w:val="20"/>
        </w:numPr>
        <w:jc w:val="both"/>
      </w:pPr>
      <w:r w:rsidRPr="00427BFD">
        <w:t>Sporazum o delegiranim poslovima u svrhu ustrojavanja "</w:t>
      </w:r>
      <w:proofErr w:type="spellStart"/>
      <w:r w:rsidRPr="00427BFD">
        <w:t>umbrella</w:t>
      </w:r>
      <w:proofErr w:type="spellEnd"/>
      <w:r w:rsidRPr="00427BFD">
        <w:t>" jamstvenog fonda - inicijalno raspoloživa sredstva namijenjena za ovaj financijski instrument iznose 600 milijuna kuna</w:t>
      </w:r>
    </w:p>
    <w:p w14:paraId="240045D2" w14:textId="001EBB99" w:rsidR="00CC1B44" w:rsidRPr="00427BFD" w:rsidRDefault="0021617F" w:rsidP="0021617F">
      <w:pPr>
        <w:pStyle w:val="Odlomakpopisa"/>
        <w:numPr>
          <w:ilvl w:val="0"/>
          <w:numId w:val="20"/>
        </w:numPr>
        <w:jc w:val="both"/>
      </w:pPr>
      <w:r w:rsidRPr="00427BFD">
        <w:t xml:space="preserve">Sporazum o delegiranim poslovima </w:t>
      </w:r>
      <w:r w:rsidR="00CC1B44" w:rsidRPr="00427BFD">
        <w:t>u svrhu ustrojavanja fonda subvencija za subvencioniranje kamata po kreditima subjektima srednje tržišne kapitalizacije i velikim poslovnim subjektima -  inicijalno raspoloživa sredstva namijenjena za ovaj financijski instrument iznose 200 milijuna kuna</w:t>
      </w:r>
    </w:p>
    <w:p w14:paraId="4DAD9833" w14:textId="6784650E" w:rsidR="00CC1B44" w:rsidRPr="00427BFD" w:rsidRDefault="0021617F" w:rsidP="0021617F">
      <w:pPr>
        <w:pStyle w:val="Odlomakpopisa"/>
        <w:numPr>
          <w:ilvl w:val="0"/>
          <w:numId w:val="20"/>
        </w:numPr>
        <w:jc w:val="both"/>
      </w:pPr>
      <w:r w:rsidRPr="00427BFD">
        <w:t xml:space="preserve">Sporazum o delegiranim poslovima </w:t>
      </w:r>
      <w:r w:rsidR="00CC1B44" w:rsidRPr="00427BFD">
        <w:t>u svrhu ustrojavanja fonda subvencija za subvencioniranje kamata po kreditima za subjekte javnog sektora -  inicijalno raspoloživa sredstva namijenjena za ovaj financijski instrument iznose 200 milijuna kuna</w:t>
      </w:r>
    </w:p>
    <w:p w14:paraId="17B4BC4A" w14:textId="0709A8D7" w:rsidR="00CC1B44" w:rsidRPr="00427BFD" w:rsidRDefault="0021617F" w:rsidP="0021617F">
      <w:pPr>
        <w:pStyle w:val="Odlomakpopisa"/>
        <w:numPr>
          <w:ilvl w:val="0"/>
          <w:numId w:val="20"/>
        </w:numPr>
        <w:jc w:val="both"/>
      </w:pPr>
      <w:r w:rsidRPr="00427BFD">
        <w:t xml:space="preserve">Sporazum o delegiranim poslovima </w:t>
      </w:r>
      <w:r w:rsidR="00CC1B44" w:rsidRPr="00427BFD">
        <w:t xml:space="preserve">u svrhu ustrojavanja fonda subvencija za subvencioniranje kamata po kreditima za mikro, male i srednje poslovne subjekte </w:t>
      </w:r>
      <w:r w:rsidR="00CC1B44" w:rsidRPr="00427BFD">
        <w:lastRenderedPageBreak/>
        <w:t>-  inicijalno raspoloživa sredstva namijenjena za ovaj financijski instrument iznose 200 milijuna kuna</w:t>
      </w:r>
    </w:p>
    <w:p w14:paraId="51F8BFC0" w14:textId="77777777" w:rsidR="00CC1B44" w:rsidRPr="00427BFD" w:rsidRDefault="00CC1B44" w:rsidP="00CC1B44">
      <w:pPr>
        <w:pStyle w:val="StandardWeb"/>
        <w:shd w:val="clear" w:color="auto" w:fill="FFFFFF"/>
        <w:spacing w:before="0" w:beforeAutospacing="0" w:after="0" w:afterAutospacing="0"/>
        <w:jc w:val="both"/>
        <w:rPr>
          <w:rFonts w:ascii="Calibri" w:hAnsi="Calibri" w:cs="Calibri"/>
          <w:color w:val="000000"/>
        </w:rPr>
      </w:pPr>
    </w:p>
    <w:p w14:paraId="7D089B8E" w14:textId="30BEA6C0" w:rsidR="00CC1B44" w:rsidRPr="00427BFD" w:rsidRDefault="00CC1B44" w:rsidP="00CC1B44">
      <w:pPr>
        <w:jc w:val="both"/>
      </w:pPr>
      <w:r w:rsidRPr="00427BFD">
        <w:t>Sporazumom se ovlašćuje HBOR na provedbu i upravljanje s financijskim instrumentom, u svoje ime, a za račun i na rizik Republike Hrvatske. Financijski instrument provodi se izravnim odob</w:t>
      </w:r>
      <w:r w:rsidR="006307AE" w:rsidRPr="00427BFD">
        <w:t>renjem kredita od strane HBOR-a</w:t>
      </w:r>
      <w:r w:rsidRPr="00427BFD">
        <w:t xml:space="preserve"> u skladu s investicijskom poli</w:t>
      </w:r>
      <w:r w:rsidR="005920EB" w:rsidRPr="00427BFD">
        <w:t xml:space="preserve">tikom. </w:t>
      </w:r>
      <w:r w:rsidRPr="00427BFD">
        <w:t xml:space="preserve">Temeljem investicijske politike HBOR izrađuje plan povlačenja raspoloživih sredstava koja su osigurana u državnom proračunu. </w:t>
      </w:r>
    </w:p>
    <w:p w14:paraId="4E4483C2" w14:textId="77777777" w:rsidR="00CC1B44" w:rsidRPr="00427BFD" w:rsidRDefault="00CC1B44" w:rsidP="00CC1B44">
      <w:pPr>
        <w:jc w:val="both"/>
      </w:pPr>
    </w:p>
    <w:p w14:paraId="75DDE31D" w14:textId="422DFB76" w:rsidR="00CC1B44" w:rsidRPr="00427BFD" w:rsidRDefault="00CC1B44" w:rsidP="00466697">
      <w:pPr>
        <w:jc w:val="both"/>
      </w:pPr>
      <w:r w:rsidRPr="00427BFD">
        <w:t>U 2022. godini Ministarstvo financija</w:t>
      </w:r>
      <w:r w:rsidR="00FC6587" w:rsidRPr="00427BFD">
        <w:t xml:space="preserve"> je sukladno spomenutim</w:t>
      </w:r>
      <w:r w:rsidRPr="00427BFD">
        <w:t xml:space="preserve"> S</w:t>
      </w:r>
      <w:r w:rsidR="00FC6587" w:rsidRPr="00427BFD">
        <w:t>porazumima</w:t>
      </w:r>
      <w:r w:rsidRPr="00427BFD">
        <w:t xml:space="preserve">, a na temelju plana povlačenja i zahtjeva za plaćanje dostavljenog od strane HBOR-a isplatilo </w:t>
      </w:r>
      <w:r w:rsidR="00FC6587" w:rsidRPr="00427BFD">
        <w:t>iznos od 50.000.000</w:t>
      </w:r>
      <w:r w:rsidR="00476098" w:rsidRPr="00427BFD">
        <w:t>,00</w:t>
      </w:r>
      <w:r w:rsidR="00FC6587" w:rsidRPr="00427BFD">
        <w:t xml:space="preserve"> kuna na ime subvencija trgovačkim društvima u javnom sektoru, a </w:t>
      </w:r>
      <w:r w:rsidRPr="00427BFD">
        <w:t xml:space="preserve">iznos od </w:t>
      </w:r>
      <w:r w:rsidR="00476098" w:rsidRPr="00427BFD">
        <w:t>250</w:t>
      </w:r>
      <w:r w:rsidR="00CE06EC" w:rsidRPr="00427BFD">
        <w:t>.000.000</w:t>
      </w:r>
      <w:r w:rsidR="00476098" w:rsidRPr="00427BFD">
        <w:t>,00</w:t>
      </w:r>
      <w:r w:rsidR="00CE06EC" w:rsidRPr="00427BFD">
        <w:t xml:space="preserve"> </w:t>
      </w:r>
      <w:r w:rsidRPr="00427BFD">
        <w:t>kuna na ime danih zajmova trgovačkim društvima</w:t>
      </w:r>
      <w:r w:rsidR="00CE06EC" w:rsidRPr="00427BFD">
        <w:t xml:space="preserve"> i zadrugama</w:t>
      </w:r>
      <w:r w:rsidRPr="00427BFD">
        <w:t xml:space="preserve"> izvan javnog sektora. </w:t>
      </w:r>
    </w:p>
    <w:p w14:paraId="1C045056" w14:textId="0BB643DF" w:rsidR="00CC1B44" w:rsidRPr="00427BFD" w:rsidRDefault="00466697" w:rsidP="00466697">
      <w:pPr>
        <w:jc w:val="both"/>
      </w:pPr>
      <w:r w:rsidRPr="00427BFD">
        <w:t>U skladu s Uputom Ministarstva financija (KLASA: 400-02/22-01/54 URBROJ:513-05-03-22-1) od 29. prosinca 2022. doznačavanje sredstava</w:t>
      </w:r>
      <w:r w:rsidR="00A94DFA" w:rsidRPr="00427BFD">
        <w:t xml:space="preserve"> iz financijskih instrumenata</w:t>
      </w:r>
      <w:r w:rsidRPr="00427BFD">
        <w:t xml:space="preserve"> krajnjim primateljima putem posrednika HBOR-a, evidentira se na osnovnim računima prema krajnjim primateljima, a ne kao da je dan zajam HBOR-u.</w:t>
      </w:r>
    </w:p>
    <w:p w14:paraId="6A5670B1" w14:textId="4BD159FC" w:rsidR="00476098" w:rsidRPr="00427BFD" w:rsidRDefault="00476098" w:rsidP="00466697">
      <w:pPr>
        <w:jc w:val="both"/>
      </w:pPr>
    </w:p>
    <w:p w14:paraId="6C8AAAE9" w14:textId="185CF94D" w:rsidR="00CC1B44" w:rsidRPr="008D78CD" w:rsidRDefault="00476098" w:rsidP="008D78CD">
      <w:pPr>
        <w:jc w:val="both"/>
      </w:pPr>
      <w:r w:rsidRPr="00427BFD">
        <w:t xml:space="preserve">U okviru subvencija trgovačkim društvima i zadrugama izvan javnog sektora isplaćena su sredstva </w:t>
      </w:r>
      <w:r w:rsidR="008A1C1A" w:rsidRPr="00427BFD">
        <w:t>iz državnog proračuna u Garantni fond za poslove osiguranja izvoza temeljem Uredbe o osiguranju izvoza („Narodne novine“, broj 53/20). Sredstva iz Garantnog fonda služe za isplatu odšteta, pokriće troškova sprječavanja nastanka štete i troškova regresne naplate, plaćanje obveza proizašlih iz preuzetih obveza po poslovima osiguranja izvoza i za pokriće ostalih troškova HBOR u provedbi osiguranja izvoza. Kako bi se osigurala dugoročna održivost provedbe poslova osiguranja izvoza, HBOR uvela je mjere i pokazatelje kojima se prati rizičnost i upravlja portfeljem izvoza na način da omjer Garantnog fonda i ukupne neto rizičnosti ne smije biti niži od 8 %. U 2022. godini u Garantni fond uplaćeno je 155.000.000,00 kuna.</w:t>
      </w:r>
    </w:p>
    <w:p w14:paraId="10946BC8" w14:textId="77777777" w:rsidR="00E21875" w:rsidRPr="00427BFD" w:rsidRDefault="00E21875" w:rsidP="003058E1">
      <w:pPr>
        <w:pStyle w:val="Naslov"/>
        <w:keepNext/>
        <w:jc w:val="both"/>
        <w:rPr>
          <w:b w:val="0"/>
          <w:bCs w:val="0"/>
          <w:sz w:val="24"/>
        </w:rPr>
      </w:pPr>
    </w:p>
    <w:p w14:paraId="2113E795" w14:textId="4A44A58F" w:rsidR="003058E1" w:rsidRPr="00427BFD" w:rsidRDefault="003058E1" w:rsidP="003058E1">
      <w:pPr>
        <w:pStyle w:val="Naslov"/>
        <w:keepNext/>
        <w:rPr>
          <w:b w:val="0"/>
          <w:bCs w:val="0"/>
          <w:szCs w:val="28"/>
        </w:rPr>
      </w:pPr>
      <w:r w:rsidRPr="00427BFD">
        <w:rPr>
          <w:b w:val="0"/>
          <w:bCs w:val="0"/>
          <w:szCs w:val="28"/>
        </w:rPr>
        <w:t>Bilješka</w:t>
      </w:r>
      <w:r w:rsidR="00B50A47" w:rsidRPr="00427BFD">
        <w:rPr>
          <w:b w:val="0"/>
          <w:bCs w:val="0"/>
          <w:szCs w:val="28"/>
        </w:rPr>
        <w:t xml:space="preserve"> </w:t>
      </w:r>
      <w:r w:rsidR="008D78CD">
        <w:rPr>
          <w:b w:val="0"/>
          <w:bCs w:val="0"/>
          <w:szCs w:val="28"/>
        </w:rPr>
        <w:t>29</w:t>
      </w:r>
      <w:r w:rsidR="00F4732E" w:rsidRPr="00427BFD">
        <w:rPr>
          <w:b w:val="0"/>
          <w:bCs w:val="0"/>
          <w:szCs w:val="28"/>
        </w:rPr>
        <w:t>.</w:t>
      </w:r>
    </w:p>
    <w:p w14:paraId="608E1CD2" w14:textId="560161A1" w:rsidR="003058E1" w:rsidRPr="00427BFD" w:rsidRDefault="00697B90" w:rsidP="003058E1">
      <w:pPr>
        <w:shd w:val="clear" w:color="auto" w:fill="FFFFFF"/>
        <w:jc w:val="center"/>
        <w:rPr>
          <w:color w:val="000000"/>
          <w:sz w:val="28"/>
          <w:szCs w:val="28"/>
        </w:rPr>
      </w:pPr>
      <w:r w:rsidRPr="00427BFD">
        <w:rPr>
          <w:color w:val="000000"/>
          <w:sz w:val="28"/>
          <w:szCs w:val="28"/>
        </w:rPr>
        <w:t xml:space="preserve">Šifra 3621 </w:t>
      </w:r>
      <w:r w:rsidR="003058E1" w:rsidRPr="00427BFD">
        <w:rPr>
          <w:color w:val="000000"/>
          <w:sz w:val="28"/>
          <w:szCs w:val="28"/>
        </w:rPr>
        <w:t>Tekuće pomoći međunarodnim organizacijama te institucijama i tijelima EU</w:t>
      </w:r>
    </w:p>
    <w:p w14:paraId="5865562F" w14:textId="4BC96F0A" w:rsidR="003058E1" w:rsidRPr="00427BFD" w:rsidRDefault="006D395D" w:rsidP="006D395D">
      <w:pPr>
        <w:shd w:val="clear" w:color="auto" w:fill="FFFFFF"/>
        <w:jc w:val="both"/>
      </w:pPr>
      <w:r w:rsidRPr="00427BFD">
        <w:t xml:space="preserve">Tekuće pomoći međunarodnim organizacijama te institucijama </w:t>
      </w:r>
      <w:r w:rsidR="00D91764" w:rsidRPr="00427BFD">
        <w:t>i tijelima EU izvršene su u 2022. u iznosu od 4.717</w:t>
      </w:r>
      <w:r w:rsidRPr="00427BFD">
        <w:t>.</w:t>
      </w:r>
      <w:r w:rsidR="00D91764" w:rsidRPr="00427BFD">
        <w:t>387</w:t>
      </w:r>
      <w:r w:rsidRPr="00427BFD">
        <w:t>.</w:t>
      </w:r>
      <w:r w:rsidR="00D91764" w:rsidRPr="00427BFD">
        <w:t xml:space="preserve">875,55 kuna, </w:t>
      </w:r>
      <w:r w:rsidRPr="00427BFD">
        <w:t xml:space="preserve">a odnose se na </w:t>
      </w:r>
      <w:r w:rsidR="003058E1" w:rsidRPr="00427BFD">
        <w:t>izdvajanja za doprinos Republike Hrvatske proračunu Europske unije</w:t>
      </w:r>
      <w:r w:rsidR="00D91764" w:rsidRPr="00427BFD">
        <w:t xml:space="preserve"> na temelju tradicionalnih vlastitih sredstava</w:t>
      </w:r>
      <w:r w:rsidRPr="00427BFD">
        <w:t>.</w:t>
      </w:r>
    </w:p>
    <w:p w14:paraId="2538F2D4" w14:textId="4137C71A" w:rsidR="006D395D" w:rsidRPr="00427BFD" w:rsidRDefault="006D395D" w:rsidP="006D395D">
      <w:pPr>
        <w:shd w:val="clear" w:color="auto" w:fill="FFFFFF"/>
        <w:jc w:val="both"/>
      </w:pPr>
    </w:p>
    <w:p w14:paraId="7394A6A4" w14:textId="153F7407" w:rsidR="008A7B51" w:rsidRPr="00427BFD" w:rsidRDefault="00F4732E" w:rsidP="008A7B51">
      <w:pPr>
        <w:pStyle w:val="Naslov"/>
        <w:keepNext/>
        <w:rPr>
          <w:b w:val="0"/>
          <w:bCs w:val="0"/>
        </w:rPr>
      </w:pPr>
      <w:r w:rsidRPr="00427BFD">
        <w:rPr>
          <w:b w:val="0"/>
          <w:bCs w:val="0"/>
        </w:rPr>
        <w:t>Bilješka</w:t>
      </w:r>
      <w:r w:rsidR="008D78CD">
        <w:rPr>
          <w:b w:val="0"/>
          <w:bCs w:val="0"/>
        </w:rPr>
        <w:t xml:space="preserve"> 30</w:t>
      </w:r>
      <w:r w:rsidR="008A7B51" w:rsidRPr="00427BFD">
        <w:rPr>
          <w:b w:val="0"/>
          <w:bCs w:val="0"/>
        </w:rPr>
        <w:t>.</w:t>
      </w:r>
    </w:p>
    <w:p w14:paraId="704E2DFB" w14:textId="7C0B4588" w:rsidR="00A6677E" w:rsidRPr="00427BFD" w:rsidRDefault="00697B90" w:rsidP="00E7442D">
      <w:pPr>
        <w:pStyle w:val="Naslov"/>
        <w:keepNext/>
        <w:rPr>
          <w:b w:val="0"/>
          <w:bCs w:val="0"/>
        </w:rPr>
      </w:pPr>
      <w:r w:rsidRPr="00427BFD">
        <w:rPr>
          <w:b w:val="0"/>
          <w:bCs w:val="0"/>
        </w:rPr>
        <w:t xml:space="preserve">Šifra 3631 </w:t>
      </w:r>
      <w:r w:rsidR="008A7B51" w:rsidRPr="00427BFD">
        <w:rPr>
          <w:b w:val="0"/>
          <w:bCs w:val="0"/>
        </w:rPr>
        <w:t xml:space="preserve">Tekuće </w:t>
      </w:r>
      <w:r w:rsidR="00A6677E" w:rsidRPr="00427BFD">
        <w:rPr>
          <w:b w:val="0"/>
          <w:bCs w:val="0"/>
        </w:rPr>
        <w:t xml:space="preserve">pomoći unutar općeg proračuna </w:t>
      </w:r>
    </w:p>
    <w:p w14:paraId="6FF73920" w14:textId="77777777" w:rsidR="00A6677E" w:rsidRPr="00427BFD" w:rsidRDefault="008A7B51" w:rsidP="00090F03">
      <w:pPr>
        <w:jc w:val="both"/>
      </w:pPr>
      <w:r w:rsidRPr="00427BFD">
        <w:t>Tekuće pomo</w:t>
      </w:r>
      <w:r w:rsidR="0062530D" w:rsidRPr="00427BFD">
        <w:t>ći unutar općeg proračuna u 2022</w:t>
      </w:r>
      <w:r w:rsidRPr="00427BFD">
        <w:t xml:space="preserve">. godini ostvarene su u iznosu od </w:t>
      </w:r>
      <w:r w:rsidR="0062530D" w:rsidRPr="00427BFD">
        <w:t xml:space="preserve">2.036.293.254,98 </w:t>
      </w:r>
      <w:r w:rsidRPr="00427BFD">
        <w:rPr>
          <w:bCs/>
        </w:rPr>
        <w:t>kuna</w:t>
      </w:r>
      <w:r w:rsidRPr="00427BFD">
        <w:t xml:space="preserve">, u odnosu na ostvarenje od </w:t>
      </w:r>
      <w:r w:rsidR="0062530D" w:rsidRPr="00427BFD">
        <w:t>2.055.053.194, 00 kuna u 2021</w:t>
      </w:r>
      <w:r w:rsidRPr="00427BFD">
        <w:t xml:space="preserve">. godini. </w:t>
      </w:r>
    </w:p>
    <w:p w14:paraId="16F63DEB" w14:textId="6C85D55B" w:rsidR="00A6677E" w:rsidRPr="00427BFD" w:rsidRDefault="00A6677E" w:rsidP="00A6677E">
      <w:pPr>
        <w:pStyle w:val="StandardWeb"/>
        <w:shd w:val="clear" w:color="auto" w:fill="FFFFFF"/>
        <w:spacing w:before="0" w:beforeAutospacing="0" w:after="0" w:afterAutospacing="0"/>
        <w:jc w:val="both"/>
        <w:rPr>
          <w:color w:val="000000"/>
        </w:rPr>
      </w:pPr>
    </w:p>
    <w:p w14:paraId="7FB2260D" w14:textId="77777777" w:rsidR="00A6677E" w:rsidRPr="00427BFD" w:rsidRDefault="00A6677E" w:rsidP="00A6677E">
      <w:pPr>
        <w:pStyle w:val="StandardWeb"/>
        <w:shd w:val="clear" w:color="auto" w:fill="FFFFFF"/>
        <w:spacing w:before="0" w:beforeAutospacing="0" w:after="0" w:afterAutospacing="0"/>
        <w:jc w:val="both"/>
        <w:rPr>
          <w:rFonts w:ascii="Calibri" w:hAnsi="Calibri" w:cs="Calibri"/>
          <w:color w:val="000000"/>
          <w:sz w:val="22"/>
          <w:szCs w:val="22"/>
        </w:rPr>
      </w:pPr>
      <w:r w:rsidRPr="00427BFD">
        <w:rPr>
          <w:color w:val="000000"/>
        </w:rPr>
        <w:t xml:space="preserve">Temeljem članka 15. Zakona o financiranju jedinica lokalne i područne (regionalne) samouprave (Narodne novine, br. 127/17, 138/20 i 151/22), jedinicama je utvrđeno pravo na isplatu kompenzacijskih pomoći. Jedinicama lokalne i područne (regionalne) samouprave se tijekom 2018. iz državnog proračuna isplaćivala pomoć u visini razlike između zbroja prihoda od poreza na dohodak i prireza ostvarenih u 2017. i prihoda od pomoći koji su u 2017. ostvareni u skladu s odredbama Zakona o izvršavanju Državnog proračuna Republike Hrvatske za 2017. godinu (Narodne novine, br. 119/16 i 113/17) te prihoda od poreza na dohodak i prireza koji su ostvarili tijekom 2018. godine. Jedinicama lokalne i područne (regionalne) samouprave se tijekom 2019. i 2020. isplaćivao isti iznos kompenzacije kao i u 2018., dok je tijekom 2021. isplaćeno 60%, a tijekom 2022. 30% iznosa naprijed navedene pomoći. Za ovu namjenu, iz državnog proračuna </w:t>
      </w:r>
      <w:r w:rsidRPr="00427BFD">
        <w:rPr>
          <w:color w:val="000000"/>
        </w:rPr>
        <w:lastRenderedPageBreak/>
        <w:t>Republike Hrvatske jedinicama lokalne i područne (regionalne) samouprave tijekom 2022. isplaćene su kompenzacijske pomoći u iznosu od 20.395.506,72 kune.</w:t>
      </w:r>
    </w:p>
    <w:p w14:paraId="706ABE13" w14:textId="77777777" w:rsidR="00A6677E" w:rsidRPr="00427BFD" w:rsidRDefault="00A6677E" w:rsidP="00A6677E">
      <w:pPr>
        <w:pStyle w:val="StandardWeb"/>
        <w:shd w:val="clear" w:color="auto" w:fill="FFFFFF"/>
        <w:spacing w:before="0" w:beforeAutospacing="0" w:after="0" w:afterAutospacing="0"/>
        <w:jc w:val="both"/>
        <w:rPr>
          <w:rFonts w:ascii="Calibri" w:hAnsi="Calibri" w:cs="Calibri"/>
          <w:color w:val="000000"/>
          <w:sz w:val="22"/>
          <w:szCs w:val="22"/>
        </w:rPr>
      </w:pPr>
      <w:r w:rsidRPr="00427BFD">
        <w:rPr>
          <w:color w:val="000000"/>
        </w:rPr>
        <w:t> </w:t>
      </w:r>
    </w:p>
    <w:p w14:paraId="4A0ADAC2" w14:textId="77777777" w:rsidR="00A6677E" w:rsidRPr="00427BFD" w:rsidRDefault="00A6677E" w:rsidP="00A6677E">
      <w:pPr>
        <w:pStyle w:val="StandardWeb"/>
        <w:shd w:val="clear" w:color="auto" w:fill="FFFFFF"/>
        <w:spacing w:before="0" w:beforeAutospacing="0" w:after="0" w:afterAutospacing="0"/>
        <w:jc w:val="both"/>
        <w:rPr>
          <w:rFonts w:ascii="Calibri" w:hAnsi="Calibri" w:cs="Calibri"/>
          <w:color w:val="000000"/>
          <w:sz w:val="22"/>
          <w:szCs w:val="22"/>
        </w:rPr>
      </w:pPr>
      <w:r w:rsidRPr="00427BFD">
        <w:rPr>
          <w:color w:val="000000"/>
        </w:rPr>
        <w:t>Temeljem odredaba istoga Zakona, u Državnom proračunu Republike Hrvatske za 2022. godinu i projekcijama za 2023. i 2024. godinu (Narodne novine, br. 140/21, 62/22 i 131/22) osigurana su sredstva fiskalnog izravnanja za one jedinice lokalne i područne (regionalne) samouprave koje na to imaju pravo, a temeljem članka 29. Zakona o izvršavanju Državnog proračuna Republike Hrvatske za 2022. godinu (Narodne novine, br. 140/21, 62/22 i 131/22) jedinicama lokalne i područne (regionalne) samouprave je tijekom 2022. isplaćena pomoć, na ime fiskalnog izravnanja, u iznosu od 2.000.000.000,00 kuna.</w:t>
      </w:r>
    </w:p>
    <w:p w14:paraId="1D77280F" w14:textId="77777777" w:rsidR="00A6677E" w:rsidRPr="00427BFD" w:rsidRDefault="00A6677E" w:rsidP="00A6677E">
      <w:pPr>
        <w:pStyle w:val="StandardWeb"/>
        <w:shd w:val="clear" w:color="auto" w:fill="FFFFFF"/>
        <w:spacing w:before="0" w:beforeAutospacing="0" w:after="0" w:afterAutospacing="0"/>
        <w:jc w:val="both"/>
        <w:rPr>
          <w:color w:val="000000"/>
        </w:rPr>
      </w:pPr>
      <w:r w:rsidRPr="00427BFD">
        <w:rPr>
          <w:color w:val="000000"/>
        </w:rPr>
        <w:t> </w:t>
      </w:r>
    </w:p>
    <w:p w14:paraId="7F488A48" w14:textId="77777777" w:rsidR="00A6677E" w:rsidRPr="00427BFD" w:rsidRDefault="00A6677E" w:rsidP="00A6677E">
      <w:pPr>
        <w:pStyle w:val="StandardWeb"/>
        <w:shd w:val="clear" w:color="auto" w:fill="FFFFFF"/>
        <w:spacing w:before="0" w:beforeAutospacing="0" w:after="0" w:afterAutospacing="0"/>
        <w:jc w:val="both"/>
        <w:rPr>
          <w:rFonts w:ascii="Calibri" w:hAnsi="Calibri" w:cs="Calibri"/>
          <w:color w:val="000000"/>
          <w:sz w:val="22"/>
          <w:szCs w:val="22"/>
        </w:rPr>
      </w:pPr>
      <w:r w:rsidRPr="00427BFD">
        <w:t xml:space="preserve">Sukladno članku 30. Zakona o izvršavanju Državnog proračuna Republike Hrvatske za 2022. godinu, u Državnom proračunu Republike Hrvatske za 2022. godinu i projekcijama za 2023. i 2024. godinu osigurana su sredstva pomoći na ime poticaja za dobrovoljno funkcionalno odnosno stvarno spajanje jedinica lokalne samouprave. </w:t>
      </w:r>
      <w:r w:rsidRPr="00427BFD">
        <w:rPr>
          <w:color w:val="000000"/>
        </w:rPr>
        <w:t xml:space="preserve">Za ovu namjenu, jedinicama lokalne samouprave tijekom 2022. isplaćena je pomoć </w:t>
      </w:r>
      <w:r w:rsidRPr="00427BFD">
        <w:t xml:space="preserve">u iznosu od </w:t>
      </w:r>
      <w:r w:rsidRPr="00427BFD">
        <w:rPr>
          <w:rFonts w:eastAsia="Calibri"/>
        </w:rPr>
        <w:t xml:space="preserve">6.342.737,39 kuna. </w:t>
      </w:r>
    </w:p>
    <w:p w14:paraId="1CEDED43" w14:textId="77777777" w:rsidR="00A6677E" w:rsidRPr="00427BFD" w:rsidRDefault="00A6677E" w:rsidP="00A6677E">
      <w:pPr>
        <w:pStyle w:val="StandardWeb"/>
        <w:shd w:val="clear" w:color="auto" w:fill="FFFFFF"/>
        <w:spacing w:before="0" w:beforeAutospacing="0" w:after="0" w:afterAutospacing="0"/>
        <w:jc w:val="both"/>
        <w:rPr>
          <w:rFonts w:ascii="Calibri" w:hAnsi="Calibri" w:cs="Calibri"/>
          <w:color w:val="000000"/>
          <w:sz w:val="22"/>
          <w:szCs w:val="22"/>
        </w:rPr>
      </w:pPr>
    </w:p>
    <w:p w14:paraId="6EB3D59D" w14:textId="3A41B60E" w:rsidR="00A6677E" w:rsidRPr="00427BFD" w:rsidRDefault="00A6677E" w:rsidP="00A6677E">
      <w:pPr>
        <w:pStyle w:val="StandardWeb"/>
        <w:shd w:val="clear" w:color="auto" w:fill="FFFFFF"/>
        <w:spacing w:before="0" w:beforeAutospacing="0" w:after="0" w:afterAutospacing="0"/>
        <w:jc w:val="both"/>
        <w:rPr>
          <w:color w:val="000000"/>
        </w:rPr>
      </w:pPr>
      <w:r w:rsidRPr="00427BFD">
        <w:rPr>
          <w:color w:val="000000"/>
        </w:rPr>
        <w:t>Slijedom navedenoga, jedinicama lokalne i područne (regionalne) samouprave je u 2022. iz državnog proračuna (T767055 Kompenzacijska mjera jedinicama lokalne i područne (regionalne) samouprave, A818069 Fiskalno izravnanje jedinica lokalne i područne (regionalne) samouprave i A767071 Poticaji za dobrovoljno funkcionalno ili stvarno spajanje jedinica lokalne samouprave) isplaćena pomoć u ukupnom iznosu od 2.026.738.244,11 kuna.</w:t>
      </w:r>
    </w:p>
    <w:p w14:paraId="05F20C49" w14:textId="77777777" w:rsidR="00997B87" w:rsidRPr="00427BFD" w:rsidRDefault="00997B87" w:rsidP="00A6677E">
      <w:pPr>
        <w:pStyle w:val="StandardWeb"/>
        <w:shd w:val="clear" w:color="auto" w:fill="FFFFFF"/>
        <w:spacing w:before="0" w:beforeAutospacing="0" w:after="0" w:afterAutospacing="0"/>
        <w:jc w:val="both"/>
        <w:rPr>
          <w:rFonts w:ascii="Calibri" w:hAnsi="Calibri" w:cs="Calibri"/>
          <w:color w:val="000000"/>
          <w:sz w:val="22"/>
          <w:szCs w:val="22"/>
        </w:rPr>
      </w:pPr>
    </w:p>
    <w:p w14:paraId="75D0BC7E" w14:textId="0EC78B33" w:rsidR="009A5F12" w:rsidRPr="00427BFD" w:rsidRDefault="009A5F12" w:rsidP="009A5F12">
      <w:pPr>
        <w:pStyle w:val="Naslov"/>
        <w:keepNext/>
        <w:rPr>
          <w:b w:val="0"/>
          <w:bCs w:val="0"/>
        </w:rPr>
      </w:pPr>
      <w:r w:rsidRPr="00427BFD">
        <w:rPr>
          <w:b w:val="0"/>
          <w:bCs w:val="0"/>
        </w:rPr>
        <w:t>Bilješka</w:t>
      </w:r>
      <w:r w:rsidR="00B50A47" w:rsidRPr="00427BFD">
        <w:rPr>
          <w:b w:val="0"/>
          <w:bCs w:val="0"/>
        </w:rPr>
        <w:t xml:space="preserve"> </w:t>
      </w:r>
      <w:r w:rsidR="00E7442D">
        <w:rPr>
          <w:b w:val="0"/>
          <w:bCs w:val="0"/>
        </w:rPr>
        <w:t>31</w:t>
      </w:r>
      <w:r w:rsidRPr="00427BFD">
        <w:rPr>
          <w:b w:val="0"/>
          <w:bCs w:val="0"/>
        </w:rPr>
        <w:t>.</w:t>
      </w:r>
    </w:p>
    <w:p w14:paraId="7832F537" w14:textId="0DA7B4D3" w:rsidR="00A6677E" w:rsidRPr="00427BFD" w:rsidRDefault="00A6677E" w:rsidP="00A6677E">
      <w:pPr>
        <w:pStyle w:val="Naslov"/>
        <w:keepNext/>
        <w:rPr>
          <w:b w:val="0"/>
          <w:bCs w:val="0"/>
        </w:rPr>
      </w:pPr>
      <w:r w:rsidRPr="00427BFD">
        <w:rPr>
          <w:b w:val="0"/>
          <w:bCs w:val="0"/>
        </w:rPr>
        <w:t>Šifra 3632 Kapitalne pomoći unutar općeg proračuna</w:t>
      </w:r>
    </w:p>
    <w:p w14:paraId="509DB6F7" w14:textId="634834E3" w:rsidR="00090F03" w:rsidRPr="00427BFD" w:rsidRDefault="00090F03" w:rsidP="00090F03">
      <w:pPr>
        <w:jc w:val="both"/>
        <w:rPr>
          <w:color w:val="000000"/>
        </w:rPr>
      </w:pPr>
    </w:p>
    <w:p w14:paraId="27C5FFC5" w14:textId="4B02CCEB" w:rsidR="00381C5C" w:rsidRPr="00427BFD" w:rsidRDefault="008A7B51" w:rsidP="00381C5C">
      <w:pPr>
        <w:shd w:val="clear" w:color="auto" w:fill="FFFFFF"/>
        <w:jc w:val="both"/>
        <w:rPr>
          <w:color w:val="000000"/>
        </w:rPr>
      </w:pPr>
      <w:r w:rsidRPr="00427BFD">
        <w:rPr>
          <w:color w:val="000000"/>
        </w:rPr>
        <w:t>Rashodi za kapitalne pomo</w:t>
      </w:r>
      <w:r w:rsidR="00381C5C" w:rsidRPr="00427BFD">
        <w:rPr>
          <w:color w:val="000000"/>
        </w:rPr>
        <w:t>ći unutar općeg proračuna u 2022</w:t>
      </w:r>
      <w:r w:rsidRPr="00427BFD">
        <w:rPr>
          <w:color w:val="000000"/>
        </w:rPr>
        <w:t xml:space="preserve">. su </w:t>
      </w:r>
      <w:r w:rsidR="00381C5C" w:rsidRPr="00427BFD">
        <w:rPr>
          <w:color w:val="000000"/>
        </w:rPr>
        <w:t>povećani</w:t>
      </w:r>
      <w:r w:rsidRPr="00427BFD">
        <w:rPr>
          <w:color w:val="000000"/>
        </w:rPr>
        <w:t xml:space="preserve"> za </w:t>
      </w:r>
      <w:r w:rsidR="00381C5C" w:rsidRPr="00427BFD">
        <w:rPr>
          <w:color w:val="000000"/>
        </w:rPr>
        <w:t>241</w:t>
      </w:r>
      <w:r w:rsidRPr="00427BFD">
        <w:rPr>
          <w:color w:val="000000"/>
        </w:rPr>
        <w:t xml:space="preserve">,4%. </w:t>
      </w:r>
      <w:r w:rsidR="00381C5C" w:rsidRPr="00427BFD">
        <w:rPr>
          <w:color w:val="000000"/>
        </w:rPr>
        <w:t>Navedeni rashodi odnose se na rashode za sanacije šteta prirodnih nepogoda koje su pogodile neke od županija i gradova. Ukupan iznos doznačen po Rješenjima Vlade Republike Hrvatske županijama i gradovima iznosi</w:t>
      </w:r>
      <w:r w:rsidR="00B50A47" w:rsidRPr="00427BFD">
        <w:rPr>
          <w:color w:val="000000"/>
        </w:rPr>
        <w:t>o</w:t>
      </w:r>
      <w:r w:rsidR="00381C5C" w:rsidRPr="00427BFD">
        <w:rPr>
          <w:color w:val="000000"/>
        </w:rPr>
        <w:t xml:space="preserve"> je 68.284.279,00 kn. Dodijeljeni iznosi za sanacije šteta elementarnih nepogoda po županijama i gradovima:</w:t>
      </w:r>
    </w:p>
    <w:p w14:paraId="4366A718" w14:textId="77777777" w:rsidR="00B53B13" w:rsidRPr="00427BFD" w:rsidRDefault="00381C5C" w:rsidP="00381C5C">
      <w:pPr>
        <w:pStyle w:val="Odlomakpopisa"/>
        <w:numPr>
          <w:ilvl w:val="0"/>
          <w:numId w:val="16"/>
        </w:numPr>
        <w:shd w:val="clear" w:color="auto" w:fill="FFFFFF"/>
        <w:jc w:val="both"/>
        <w:rPr>
          <w:color w:val="000000"/>
        </w:rPr>
      </w:pPr>
      <w:r w:rsidRPr="00427BFD">
        <w:rPr>
          <w:color w:val="000000"/>
        </w:rPr>
        <w:t xml:space="preserve">25.000.000,00 kn Bjelovarsko-bilogorskoj županiji zbog olujnog nevremena; </w:t>
      </w:r>
    </w:p>
    <w:p w14:paraId="28FC728D" w14:textId="6A75C72B" w:rsidR="00381C5C" w:rsidRPr="00427BFD" w:rsidRDefault="00381C5C" w:rsidP="00381C5C">
      <w:pPr>
        <w:pStyle w:val="Odlomakpopisa"/>
        <w:numPr>
          <w:ilvl w:val="0"/>
          <w:numId w:val="16"/>
        </w:numPr>
        <w:shd w:val="clear" w:color="auto" w:fill="FFFFFF"/>
        <w:jc w:val="both"/>
        <w:rPr>
          <w:color w:val="000000"/>
        </w:rPr>
      </w:pPr>
      <w:r w:rsidRPr="00427BFD">
        <w:rPr>
          <w:color w:val="000000"/>
        </w:rPr>
        <w:t xml:space="preserve">18.000.000,00 kn za sanacije šteta od tuče i to raspodijeljeno po županijama:      </w:t>
      </w:r>
    </w:p>
    <w:p w14:paraId="77C363DC" w14:textId="4649E6EB" w:rsidR="00381C5C" w:rsidRPr="00427BFD" w:rsidRDefault="00381C5C" w:rsidP="00E65D41">
      <w:pPr>
        <w:pStyle w:val="Odlomakpopisa"/>
        <w:numPr>
          <w:ilvl w:val="0"/>
          <w:numId w:val="17"/>
        </w:numPr>
        <w:shd w:val="clear" w:color="auto" w:fill="FFFFFF"/>
        <w:jc w:val="both"/>
        <w:rPr>
          <w:color w:val="000000"/>
        </w:rPr>
      </w:pPr>
      <w:r w:rsidRPr="00427BFD">
        <w:rPr>
          <w:color w:val="000000"/>
        </w:rPr>
        <w:t xml:space="preserve">6.363.000,00 kuna Varaždinskoj županiji, </w:t>
      </w:r>
    </w:p>
    <w:p w14:paraId="1DDAEA8E" w14:textId="6DD94E9A" w:rsidR="00381C5C" w:rsidRPr="00427BFD" w:rsidRDefault="00381C5C" w:rsidP="00E65D41">
      <w:pPr>
        <w:pStyle w:val="Odlomakpopisa"/>
        <w:numPr>
          <w:ilvl w:val="0"/>
          <w:numId w:val="17"/>
        </w:numPr>
        <w:shd w:val="clear" w:color="auto" w:fill="FFFFFF"/>
        <w:jc w:val="both"/>
        <w:rPr>
          <w:color w:val="000000"/>
        </w:rPr>
      </w:pPr>
      <w:r w:rsidRPr="00427BFD">
        <w:rPr>
          <w:color w:val="000000"/>
        </w:rPr>
        <w:t xml:space="preserve">8.046.000,00 kuna Krapinsko-zagorskoj županiji, </w:t>
      </w:r>
    </w:p>
    <w:p w14:paraId="72651855" w14:textId="413D2939" w:rsidR="00381C5C" w:rsidRPr="00427BFD" w:rsidRDefault="00381C5C" w:rsidP="00E65D41">
      <w:pPr>
        <w:pStyle w:val="Odlomakpopisa"/>
        <w:numPr>
          <w:ilvl w:val="0"/>
          <w:numId w:val="17"/>
        </w:numPr>
        <w:shd w:val="clear" w:color="auto" w:fill="FFFFFF"/>
        <w:jc w:val="both"/>
        <w:rPr>
          <w:color w:val="000000"/>
        </w:rPr>
      </w:pPr>
      <w:r w:rsidRPr="00427BFD">
        <w:rPr>
          <w:color w:val="000000"/>
        </w:rPr>
        <w:t>142.200,00 kuna Koprivničko-križevačkoj županiji</w:t>
      </w:r>
    </w:p>
    <w:p w14:paraId="1CACA976" w14:textId="77777777" w:rsidR="00E65D41" w:rsidRPr="00427BFD" w:rsidRDefault="00381C5C" w:rsidP="00381C5C">
      <w:pPr>
        <w:pStyle w:val="Odlomakpopisa"/>
        <w:numPr>
          <w:ilvl w:val="0"/>
          <w:numId w:val="17"/>
        </w:numPr>
        <w:shd w:val="clear" w:color="auto" w:fill="FFFFFF"/>
        <w:jc w:val="both"/>
        <w:rPr>
          <w:color w:val="000000"/>
        </w:rPr>
      </w:pPr>
      <w:r w:rsidRPr="00427BFD">
        <w:rPr>
          <w:color w:val="000000"/>
        </w:rPr>
        <w:t xml:space="preserve">397.800,00 kuna Zagrebačkoj županiji </w:t>
      </w:r>
    </w:p>
    <w:p w14:paraId="7C927675" w14:textId="4C447DE5" w:rsidR="00381C5C" w:rsidRPr="00427BFD" w:rsidRDefault="00381C5C" w:rsidP="00381C5C">
      <w:pPr>
        <w:pStyle w:val="Odlomakpopisa"/>
        <w:numPr>
          <w:ilvl w:val="0"/>
          <w:numId w:val="17"/>
        </w:numPr>
        <w:shd w:val="clear" w:color="auto" w:fill="FFFFFF"/>
        <w:jc w:val="both"/>
        <w:rPr>
          <w:color w:val="000000"/>
        </w:rPr>
      </w:pPr>
      <w:r w:rsidRPr="00427BFD">
        <w:rPr>
          <w:color w:val="000000"/>
        </w:rPr>
        <w:t>3.051.000,00 kuna Karlovačkoj županiji</w:t>
      </w:r>
    </w:p>
    <w:p w14:paraId="7791BF3D" w14:textId="5BDAF721" w:rsidR="00381C5C" w:rsidRPr="00427BFD" w:rsidRDefault="00E65D41" w:rsidP="00E65D41">
      <w:pPr>
        <w:pStyle w:val="Odlomakpopisa"/>
        <w:numPr>
          <w:ilvl w:val="0"/>
          <w:numId w:val="16"/>
        </w:numPr>
        <w:shd w:val="clear" w:color="auto" w:fill="FFFFFF"/>
        <w:jc w:val="both"/>
        <w:rPr>
          <w:color w:val="000000"/>
        </w:rPr>
      </w:pPr>
      <w:r w:rsidRPr="00427BFD">
        <w:rPr>
          <w:color w:val="000000"/>
        </w:rPr>
        <w:t>2</w:t>
      </w:r>
      <w:r w:rsidR="00381C5C" w:rsidRPr="00427BFD">
        <w:rPr>
          <w:color w:val="000000"/>
        </w:rPr>
        <w:t>5.000.000,00 kuna Gradu Hrvatska Kostajnica zbog poplava i</w:t>
      </w:r>
    </w:p>
    <w:p w14:paraId="2D6285A4" w14:textId="32033655" w:rsidR="00381C5C" w:rsidRPr="00427BFD" w:rsidRDefault="00381C5C" w:rsidP="00E65D41">
      <w:pPr>
        <w:pStyle w:val="Odlomakpopisa"/>
        <w:numPr>
          <w:ilvl w:val="0"/>
          <w:numId w:val="16"/>
        </w:numPr>
        <w:shd w:val="clear" w:color="auto" w:fill="FFFFFF"/>
        <w:jc w:val="both"/>
        <w:rPr>
          <w:color w:val="000000"/>
        </w:rPr>
      </w:pPr>
      <w:r w:rsidRPr="00427BFD">
        <w:rPr>
          <w:color w:val="000000"/>
        </w:rPr>
        <w:t>284.279,00 kuna Gradu Petrinji zbog poplava.</w:t>
      </w:r>
    </w:p>
    <w:p w14:paraId="5C204FD7" w14:textId="67F6882C" w:rsidR="00CE0FD8" w:rsidRPr="00427BFD" w:rsidRDefault="00CE0FD8" w:rsidP="006D395D">
      <w:pPr>
        <w:shd w:val="clear" w:color="auto" w:fill="FFFFFF"/>
        <w:jc w:val="both"/>
        <w:rPr>
          <w:color w:val="000000"/>
        </w:rPr>
      </w:pPr>
    </w:p>
    <w:p w14:paraId="200C2CF4" w14:textId="69F2E7FF" w:rsidR="00CE0FD8" w:rsidRPr="00427BFD" w:rsidRDefault="00CE0FD8" w:rsidP="00CE0FD8">
      <w:pPr>
        <w:pStyle w:val="Naslov"/>
        <w:keepNext/>
        <w:rPr>
          <w:b w:val="0"/>
          <w:bCs w:val="0"/>
        </w:rPr>
      </w:pPr>
      <w:r w:rsidRPr="00427BFD">
        <w:rPr>
          <w:b w:val="0"/>
          <w:bCs w:val="0"/>
        </w:rPr>
        <w:t>Bilješka</w:t>
      </w:r>
      <w:r w:rsidR="00B50A47" w:rsidRPr="00427BFD">
        <w:rPr>
          <w:b w:val="0"/>
          <w:bCs w:val="0"/>
        </w:rPr>
        <w:t xml:space="preserve"> </w:t>
      </w:r>
      <w:r w:rsidR="00E7442D">
        <w:rPr>
          <w:b w:val="0"/>
          <w:bCs w:val="0"/>
        </w:rPr>
        <w:t>32</w:t>
      </w:r>
      <w:r w:rsidR="00F4732E" w:rsidRPr="00427BFD">
        <w:rPr>
          <w:b w:val="0"/>
          <w:bCs w:val="0"/>
        </w:rPr>
        <w:t>.</w:t>
      </w:r>
    </w:p>
    <w:p w14:paraId="313E1ECB" w14:textId="26DCA527" w:rsidR="00CE0FD8" w:rsidRPr="00427BFD" w:rsidRDefault="004E2D53" w:rsidP="00F4732E">
      <w:pPr>
        <w:shd w:val="clear" w:color="auto" w:fill="FFFFFF"/>
        <w:jc w:val="center"/>
        <w:rPr>
          <w:color w:val="000000"/>
          <w:sz w:val="28"/>
          <w:szCs w:val="28"/>
        </w:rPr>
      </w:pPr>
      <w:r w:rsidRPr="00427BFD">
        <w:rPr>
          <w:color w:val="000000"/>
          <w:sz w:val="28"/>
          <w:szCs w:val="28"/>
        </w:rPr>
        <w:t xml:space="preserve">Šifra 3635 </w:t>
      </w:r>
      <w:r w:rsidR="00CE0FD8" w:rsidRPr="00427BFD">
        <w:rPr>
          <w:color w:val="000000"/>
          <w:sz w:val="28"/>
          <w:szCs w:val="28"/>
        </w:rPr>
        <w:t>Pomoći unutar općeg proračuna po protestiranim jamstvima</w:t>
      </w:r>
    </w:p>
    <w:p w14:paraId="456C555A" w14:textId="6B5A0C29" w:rsidR="00792BA8" w:rsidRPr="00427BFD" w:rsidRDefault="00792BA8" w:rsidP="00792BA8">
      <w:pPr>
        <w:jc w:val="both"/>
        <w:rPr>
          <w:color w:val="000000"/>
        </w:rPr>
      </w:pPr>
      <w:r w:rsidRPr="00427BFD">
        <w:rPr>
          <w:color w:val="000000"/>
        </w:rPr>
        <w:t>Ostvareni rashodi u 2022. godini za pomoći unutar općeg proračuna po protestiranim jamstvima odnose se na pomoći po protestiranim jamstvima danim na zahtjev društva HŽ Infrastruktura d.o.o. u iznosu od 76.011.415,61 kuna, a odnose se na protestirana državna jamstva za društvo HŽ Infrastruktura d.o.o. koja su izdana u razdoblju od 2017. do 2022. godine.</w:t>
      </w:r>
    </w:p>
    <w:p w14:paraId="0378EF8F" w14:textId="4C4842A2" w:rsidR="007178FB" w:rsidRPr="00427BFD" w:rsidRDefault="007178FB" w:rsidP="00CE0FD8">
      <w:pPr>
        <w:shd w:val="clear" w:color="auto" w:fill="FFFFFF"/>
        <w:jc w:val="both"/>
        <w:rPr>
          <w:color w:val="000000"/>
        </w:rPr>
      </w:pPr>
    </w:p>
    <w:p w14:paraId="5FC90E9A" w14:textId="533CC54F" w:rsidR="007178FB" w:rsidRPr="00427BFD" w:rsidRDefault="00792BA8" w:rsidP="007178FB">
      <w:pPr>
        <w:jc w:val="center"/>
        <w:rPr>
          <w:sz w:val="28"/>
          <w:szCs w:val="28"/>
        </w:rPr>
      </w:pPr>
      <w:r w:rsidRPr="00427BFD">
        <w:rPr>
          <w:sz w:val="28"/>
          <w:szCs w:val="28"/>
        </w:rPr>
        <w:t xml:space="preserve">Bilješka </w:t>
      </w:r>
      <w:r w:rsidR="00E7442D">
        <w:rPr>
          <w:sz w:val="28"/>
          <w:szCs w:val="28"/>
        </w:rPr>
        <w:t>33</w:t>
      </w:r>
      <w:r w:rsidR="007178FB" w:rsidRPr="00427BFD">
        <w:rPr>
          <w:sz w:val="28"/>
          <w:szCs w:val="28"/>
        </w:rPr>
        <w:t>.</w:t>
      </w:r>
    </w:p>
    <w:p w14:paraId="3F421FA8" w14:textId="77777777" w:rsidR="007178FB" w:rsidRPr="00427BFD" w:rsidRDefault="007178FB" w:rsidP="007178FB">
      <w:pPr>
        <w:jc w:val="center"/>
        <w:rPr>
          <w:sz w:val="28"/>
          <w:szCs w:val="28"/>
        </w:rPr>
      </w:pPr>
      <w:r w:rsidRPr="00427BFD">
        <w:rPr>
          <w:sz w:val="28"/>
          <w:szCs w:val="28"/>
        </w:rPr>
        <w:t>Šifra 3721 Naknade građanima i kućanstvima u novcu</w:t>
      </w:r>
    </w:p>
    <w:p w14:paraId="66C55795" w14:textId="3E4D891B" w:rsidR="007178FB" w:rsidRPr="00427BFD" w:rsidRDefault="007178FB" w:rsidP="007178FB">
      <w:pPr>
        <w:jc w:val="both"/>
      </w:pPr>
      <w:r w:rsidRPr="00427BFD">
        <w:lastRenderedPageBreak/>
        <w:t>Rashodi za naknade građanima i kućanstvima u novcu ostvareni su u razdoblju od 1. siječnja do 31. prosinca 2022. godine u iznosu od 94,6 milijuna kuna, dok su u istom razdoblju prethodne godine ostvareni u iznosu od 88,1 milijun kuna</w:t>
      </w:r>
      <w:r w:rsidR="009A77C1" w:rsidRPr="00427BFD">
        <w:t>. Ovi rashodi</w:t>
      </w:r>
      <w:r w:rsidRPr="00427BFD">
        <w:t xml:space="preserve"> odnose se na državna poticajna sredstva za stambenu štednju sukladno Zakonu o stambenoj štednji i državnom poticanju stambene štednje (Narodne novine, broj 109/97, 117/97, 76/99, 10/01, 92/05, 21/10, </w:t>
      </w:r>
      <w:r w:rsidR="009A77C1" w:rsidRPr="00427BFD">
        <w:t>15/13, 139/13, 151/14 i 110/15).</w:t>
      </w:r>
    </w:p>
    <w:p w14:paraId="0ABE7491" w14:textId="77777777" w:rsidR="007178FB" w:rsidRPr="00427BFD" w:rsidRDefault="007178FB" w:rsidP="00E330A8">
      <w:pPr>
        <w:pStyle w:val="Naslov"/>
        <w:keepNext/>
        <w:rPr>
          <w:b w:val="0"/>
          <w:bCs w:val="0"/>
        </w:rPr>
      </w:pPr>
    </w:p>
    <w:p w14:paraId="08DDDA88" w14:textId="229C02A0" w:rsidR="00E330A8" w:rsidRPr="00427BFD" w:rsidRDefault="00E330A8" w:rsidP="00E330A8">
      <w:pPr>
        <w:pStyle w:val="Naslov"/>
        <w:keepNext/>
        <w:rPr>
          <w:b w:val="0"/>
          <w:bCs w:val="0"/>
        </w:rPr>
      </w:pPr>
      <w:r w:rsidRPr="00427BFD">
        <w:rPr>
          <w:b w:val="0"/>
          <w:bCs w:val="0"/>
        </w:rPr>
        <w:t>Bilješka</w:t>
      </w:r>
      <w:r w:rsidR="00792BA8" w:rsidRPr="00427BFD">
        <w:rPr>
          <w:b w:val="0"/>
          <w:bCs w:val="0"/>
        </w:rPr>
        <w:t xml:space="preserve"> </w:t>
      </w:r>
      <w:r w:rsidR="00E7442D">
        <w:rPr>
          <w:b w:val="0"/>
          <w:bCs w:val="0"/>
        </w:rPr>
        <w:t>34</w:t>
      </w:r>
      <w:r w:rsidR="00F4732E" w:rsidRPr="00427BFD">
        <w:rPr>
          <w:b w:val="0"/>
          <w:bCs w:val="0"/>
        </w:rPr>
        <w:t>.</w:t>
      </w:r>
    </w:p>
    <w:p w14:paraId="0302F484" w14:textId="5D59D35C" w:rsidR="00E330A8" w:rsidRPr="00427BFD" w:rsidRDefault="004E2D53" w:rsidP="00F4732E">
      <w:pPr>
        <w:pStyle w:val="Naslov"/>
        <w:keepNext/>
        <w:rPr>
          <w:b w:val="0"/>
          <w:bCs w:val="0"/>
        </w:rPr>
      </w:pPr>
      <w:r w:rsidRPr="00427BFD">
        <w:rPr>
          <w:b w:val="0"/>
          <w:bCs w:val="0"/>
        </w:rPr>
        <w:t xml:space="preserve">Šifra 3834 </w:t>
      </w:r>
      <w:r w:rsidR="00E330A8" w:rsidRPr="00427BFD">
        <w:rPr>
          <w:b w:val="0"/>
          <w:bCs w:val="0"/>
        </w:rPr>
        <w:t>Ugovorene kazne i ostale naknade šteta</w:t>
      </w:r>
    </w:p>
    <w:p w14:paraId="7F19C7E0" w14:textId="4002D772" w:rsidR="00BF5B84" w:rsidRPr="00427BFD" w:rsidRDefault="005E0C09" w:rsidP="00E330A8">
      <w:pPr>
        <w:shd w:val="clear" w:color="auto" w:fill="FFFFFF"/>
        <w:jc w:val="both"/>
        <w:rPr>
          <w:color w:val="000000"/>
        </w:rPr>
      </w:pPr>
      <w:r w:rsidRPr="00427BFD">
        <w:rPr>
          <w:color w:val="000000"/>
        </w:rPr>
        <w:t>U 2022</w:t>
      </w:r>
      <w:r w:rsidR="00E330A8" w:rsidRPr="00427BFD">
        <w:rPr>
          <w:color w:val="000000"/>
        </w:rPr>
        <w:t xml:space="preserve">. godini rashodi za ugovorene kazne i ostale naknade šteta ostvareni su u iznosu od </w:t>
      </w:r>
      <w:r w:rsidRPr="00427BFD">
        <w:rPr>
          <w:color w:val="000000"/>
        </w:rPr>
        <w:t xml:space="preserve">56.809.456,69 što je 83,4 % manje u odnosu na prethodnu godinu. Smanjenje je značajno jer </w:t>
      </w:r>
      <w:r w:rsidR="009C0EF8" w:rsidRPr="00427BFD">
        <w:rPr>
          <w:color w:val="000000"/>
        </w:rPr>
        <w:t xml:space="preserve">je na ime </w:t>
      </w:r>
      <w:r w:rsidR="009A77C1" w:rsidRPr="00427BFD">
        <w:rPr>
          <w:color w:val="000000"/>
        </w:rPr>
        <w:t>ugovornih</w:t>
      </w:r>
      <w:r w:rsidR="009C0EF8" w:rsidRPr="00427BFD">
        <w:rPr>
          <w:color w:val="000000"/>
        </w:rPr>
        <w:t xml:space="preserve"> kazni u 2021. </w:t>
      </w:r>
      <w:r w:rsidR="009A77C1" w:rsidRPr="00427BFD">
        <w:rPr>
          <w:color w:val="000000"/>
        </w:rPr>
        <w:t>godini</w:t>
      </w:r>
      <w:r w:rsidR="009C0EF8" w:rsidRPr="00427BFD">
        <w:rPr>
          <w:color w:val="000000"/>
        </w:rPr>
        <w:t xml:space="preserve"> isplaćen iznos od 297.000.000 kuna </w:t>
      </w:r>
      <w:r w:rsidR="00BF5B84" w:rsidRPr="00427BFD">
        <w:rPr>
          <w:color w:val="000000"/>
        </w:rPr>
        <w:t>Temeljem Sporazuma o prijateljskom rješenju spora između Republike Hrvatske, s jedne strane, i Colgate/</w:t>
      </w:r>
      <w:proofErr w:type="spellStart"/>
      <w:r w:rsidR="00BF5B84" w:rsidRPr="00427BFD">
        <w:rPr>
          <w:color w:val="000000"/>
        </w:rPr>
        <w:t>McCallum</w:t>
      </w:r>
      <w:proofErr w:type="spellEnd"/>
      <w:r w:rsidR="00E330A8" w:rsidRPr="00427BFD">
        <w:rPr>
          <w:color w:val="000000"/>
        </w:rPr>
        <w:t xml:space="preserve">, </w:t>
      </w:r>
      <w:proofErr w:type="spellStart"/>
      <w:r w:rsidR="00E330A8" w:rsidRPr="00427BFD">
        <w:rPr>
          <w:color w:val="000000"/>
        </w:rPr>
        <w:t>Ltd</w:t>
      </w:r>
      <w:proofErr w:type="spellEnd"/>
      <w:r w:rsidR="00E330A8" w:rsidRPr="00427BFD">
        <w:rPr>
          <w:color w:val="000000"/>
        </w:rPr>
        <w:t xml:space="preserve">. i </w:t>
      </w:r>
      <w:proofErr w:type="spellStart"/>
      <w:r w:rsidR="00E330A8" w:rsidRPr="00427BFD">
        <w:rPr>
          <w:color w:val="000000"/>
        </w:rPr>
        <w:t>Gavina</w:t>
      </w:r>
      <w:proofErr w:type="spellEnd"/>
      <w:r w:rsidR="00E330A8" w:rsidRPr="00427BFD">
        <w:rPr>
          <w:color w:val="000000"/>
        </w:rPr>
        <w:t xml:space="preserve"> Michaela </w:t>
      </w:r>
      <w:proofErr w:type="spellStart"/>
      <w:r w:rsidR="00E330A8" w:rsidRPr="00427BFD">
        <w:rPr>
          <w:color w:val="000000"/>
        </w:rPr>
        <w:t>Susmana</w:t>
      </w:r>
      <w:proofErr w:type="spellEnd"/>
      <w:r w:rsidR="00E330A8" w:rsidRPr="00427BFD">
        <w:rPr>
          <w:color w:val="000000"/>
        </w:rPr>
        <w:t>.</w:t>
      </w:r>
    </w:p>
    <w:p w14:paraId="23B48ECA" w14:textId="24CE64E3" w:rsidR="00E330A8" w:rsidRPr="00427BFD" w:rsidRDefault="00E330A8" w:rsidP="00E330A8">
      <w:pPr>
        <w:jc w:val="both"/>
      </w:pPr>
    </w:p>
    <w:p w14:paraId="632F8C61" w14:textId="19975B1D" w:rsidR="00E330A8" w:rsidRPr="00427BFD" w:rsidRDefault="00E330A8" w:rsidP="00E330A8">
      <w:pPr>
        <w:jc w:val="center"/>
        <w:rPr>
          <w:sz w:val="28"/>
          <w:szCs w:val="28"/>
        </w:rPr>
      </w:pPr>
      <w:r w:rsidRPr="00427BFD">
        <w:rPr>
          <w:sz w:val="28"/>
          <w:szCs w:val="28"/>
        </w:rPr>
        <w:t>Bilješka</w:t>
      </w:r>
      <w:r w:rsidR="00792BA8" w:rsidRPr="00427BFD">
        <w:rPr>
          <w:sz w:val="28"/>
          <w:szCs w:val="28"/>
        </w:rPr>
        <w:t xml:space="preserve"> </w:t>
      </w:r>
      <w:r w:rsidR="00E7442D">
        <w:rPr>
          <w:sz w:val="28"/>
          <w:szCs w:val="28"/>
        </w:rPr>
        <w:t>35</w:t>
      </w:r>
      <w:r w:rsidR="00F4732E" w:rsidRPr="00427BFD">
        <w:rPr>
          <w:sz w:val="28"/>
          <w:szCs w:val="28"/>
        </w:rPr>
        <w:t>.</w:t>
      </w:r>
    </w:p>
    <w:p w14:paraId="3F18682A" w14:textId="3BEAB6F1" w:rsidR="00E330A8" w:rsidRPr="00427BFD" w:rsidRDefault="005019C3" w:rsidP="00F4732E">
      <w:pPr>
        <w:jc w:val="center"/>
        <w:rPr>
          <w:sz w:val="28"/>
          <w:szCs w:val="28"/>
        </w:rPr>
      </w:pPr>
      <w:r w:rsidRPr="00427BFD">
        <w:rPr>
          <w:sz w:val="28"/>
          <w:szCs w:val="28"/>
        </w:rPr>
        <w:t>Šifra 3865</w:t>
      </w:r>
      <w:r w:rsidR="00E330A8" w:rsidRPr="00427BFD">
        <w:rPr>
          <w:sz w:val="28"/>
          <w:szCs w:val="28"/>
        </w:rPr>
        <w:t xml:space="preserve"> Kapitalne pomoći trgovačkim društvima i obrtnicima po protestiranim jamstvima</w:t>
      </w:r>
    </w:p>
    <w:p w14:paraId="2C4E31EB" w14:textId="66FD8789" w:rsidR="00F20A5C" w:rsidRPr="00427BFD" w:rsidRDefault="00F20A5C" w:rsidP="00F20A5C">
      <w:pPr>
        <w:shd w:val="clear" w:color="auto" w:fill="FFFFFF"/>
        <w:jc w:val="both"/>
        <w:rPr>
          <w:color w:val="000000"/>
        </w:rPr>
      </w:pPr>
      <w:r w:rsidRPr="00427BFD">
        <w:rPr>
          <w:color w:val="000000"/>
        </w:rPr>
        <w:t xml:space="preserve">Rashodi za kapitalne pomoći trgovačkim društvima i obrtnicima po protestiranim jamstvima u 2022. godini ostvareni </w:t>
      </w:r>
      <w:r w:rsidR="007C284F">
        <w:rPr>
          <w:color w:val="000000"/>
        </w:rPr>
        <w:t>su u visini 600.378.220,49 kuna što je značajno povećanje</w:t>
      </w:r>
      <w:r w:rsidRPr="00427BFD">
        <w:rPr>
          <w:color w:val="000000"/>
        </w:rPr>
        <w:t xml:space="preserve"> u odnosu na 34.614.362,00 kuna ostvarenih u 2021. godini.</w:t>
      </w:r>
      <w:r w:rsidRPr="00427BFD">
        <w:t xml:space="preserve"> </w:t>
      </w:r>
      <w:r w:rsidRPr="00427BFD">
        <w:rPr>
          <w:color w:val="000000"/>
        </w:rPr>
        <w:t>Naime, Ministarstvo financija izdalo je 2015. godine u korist HBOR-a državna jamstva Riznični brojevi: F-035-15 i F-036-15 za izdavanje bankarskih garancija za povrat avansa za Novogradnju 522.</w:t>
      </w:r>
    </w:p>
    <w:p w14:paraId="4EDDD465" w14:textId="77777777" w:rsidR="00F20A5C" w:rsidRPr="00427BFD" w:rsidRDefault="00F20A5C" w:rsidP="00F20A5C">
      <w:pPr>
        <w:shd w:val="clear" w:color="auto" w:fill="FFFFFF"/>
        <w:jc w:val="both"/>
        <w:rPr>
          <w:color w:val="000000"/>
        </w:rPr>
      </w:pPr>
    </w:p>
    <w:p w14:paraId="2F2A003B" w14:textId="77777777" w:rsidR="00F20A5C" w:rsidRPr="00427BFD" w:rsidRDefault="00F20A5C" w:rsidP="00F20A5C">
      <w:pPr>
        <w:shd w:val="clear" w:color="auto" w:fill="FFFFFF"/>
        <w:jc w:val="both"/>
        <w:rPr>
          <w:color w:val="000000"/>
        </w:rPr>
      </w:pPr>
      <w:r w:rsidRPr="00427BFD">
        <w:rPr>
          <w:color w:val="000000"/>
        </w:rPr>
        <w:t xml:space="preserve">Sukladno arbitražnom pravorijeku od 3. siječnja 2022. godine u sporu koji je </w:t>
      </w:r>
      <w:proofErr w:type="spellStart"/>
      <w:r w:rsidRPr="00427BFD">
        <w:rPr>
          <w:color w:val="000000"/>
        </w:rPr>
        <w:t>Wellard</w:t>
      </w:r>
      <w:proofErr w:type="spellEnd"/>
      <w:r w:rsidRPr="00427BFD">
        <w:rPr>
          <w:color w:val="000000"/>
        </w:rPr>
        <w:t xml:space="preserve"> </w:t>
      </w:r>
      <w:proofErr w:type="spellStart"/>
      <w:r w:rsidRPr="00427BFD">
        <w:rPr>
          <w:color w:val="000000"/>
        </w:rPr>
        <w:t>Ships</w:t>
      </w:r>
      <w:proofErr w:type="spellEnd"/>
      <w:r w:rsidRPr="00427BFD">
        <w:rPr>
          <w:color w:val="000000"/>
        </w:rPr>
        <w:t xml:space="preserve"> </w:t>
      </w:r>
      <w:proofErr w:type="spellStart"/>
      <w:r w:rsidRPr="00427BFD">
        <w:rPr>
          <w:color w:val="000000"/>
        </w:rPr>
        <w:t>Pte,Ltd</w:t>
      </w:r>
      <w:proofErr w:type="spellEnd"/>
      <w:r w:rsidRPr="00427BFD">
        <w:rPr>
          <w:color w:val="000000"/>
        </w:rPr>
        <w:t>, Singapore pokrenuo protiv HBOR-a radi neplaćanja po HBOR-ovim garancijama izdanim 2015. godine po nalogu Uljanika d.d., HBOR je dana 14. siječnja 2022. godine izvršio isplatu temeljem navedenih garancija u visini od 1.832.672,55 EUR i 9.940.852,52 USD.</w:t>
      </w:r>
    </w:p>
    <w:p w14:paraId="7957B398" w14:textId="77777777" w:rsidR="00F20A5C" w:rsidRPr="00427BFD" w:rsidRDefault="00F20A5C" w:rsidP="00F20A5C">
      <w:pPr>
        <w:shd w:val="clear" w:color="auto" w:fill="FFFFFF"/>
        <w:jc w:val="both"/>
        <w:rPr>
          <w:color w:val="000000"/>
        </w:rPr>
      </w:pPr>
    </w:p>
    <w:p w14:paraId="3491B818" w14:textId="77777777" w:rsidR="00F20A5C" w:rsidRPr="00427BFD" w:rsidRDefault="00F20A5C" w:rsidP="00F20A5C">
      <w:pPr>
        <w:shd w:val="clear" w:color="auto" w:fill="FFFFFF"/>
        <w:jc w:val="both"/>
        <w:rPr>
          <w:color w:val="000000"/>
        </w:rPr>
      </w:pPr>
      <w:r w:rsidRPr="00427BFD">
        <w:rPr>
          <w:color w:val="000000"/>
        </w:rPr>
        <w:t>Ministarstvo financija je temeljem navedenih jamstava (pokrivaju 64% obveza po garancijama) dana 26. siječnja 2022. godine prema HBOR-u izmirilo obveze umjesto društva Uljanik d.d., u stečaju, u iznosu od 51.273.965,32 kuna (plaćanja od strane Ministarstva financija u valutama u iznosu od 1.172.910,43 EUR na ime glavnice i redovnih kamata te u iznosu od 6.362.145,61 USD na ime glavnice i redovnih kamata).</w:t>
      </w:r>
    </w:p>
    <w:p w14:paraId="1E0467AA" w14:textId="7DA1FCAA" w:rsidR="0061568B" w:rsidRPr="00427BFD" w:rsidRDefault="0061568B" w:rsidP="00F20A5C">
      <w:pPr>
        <w:shd w:val="clear" w:color="auto" w:fill="FFFFFF"/>
        <w:jc w:val="both"/>
        <w:rPr>
          <w:color w:val="000000"/>
        </w:rPr>
      </w:pPr>
    </w:p>
    <w:p w14:paraId="4A66F759" w14:textId="6832B933" w:rsidR="0061568B" w:rsidRPr="00427BFD" w:rsidRDefault="0061568B" w:rsidP="00F20A5C">
      <w:pPr>
        <w:shd w:val="clear" w:color="auto" w:fill="FFFFFF"/>
        <w:jc w:val="both"/>
        <w:rPr>
          <w:color w:val="000000"/>
        </w:rPr>
      </w:pPr>
      <w:r w:rsidRPr="00427BFD">
        <w:rPr>
          <w:color w:val="000000"/>
        </w:rPr>
        <w:t>Nadalje, Ministarstvo financija izdalo je za društvo Brodograđevna industrija Split d.d. u 2020. godini državno jamstvo Riznični broj F-008-20 u korist VTB Bank (Europe) SE za gradnju broda Nov. 485. Temeljem navedenog izdanog i protestiranog državnog jamstva, Ministarstvo financija izvršilo je plaćanje u iznosu od 242.997.557,40 kuna.</w:t>
      </w:r>
    </w:p>
    <w:p w14:paraId="10BFB12E" w14:textId="77777777" w:rsidR="00F20A5C" w:rsidRPr="007C284F" w:rsidRDefault="00F20A5C" w:rsidP="00F20A5C">
      <w:pPr>
        <w:shd w:val="clear" w:color="auto" w:fill="FFFFFF"/>
        <w:jc w:val="both"/>
        <w:rPr>
          <w:color w:val="000000"/>
        </w:rPr>
      </w:pPr>
    </w:p>
    <w:p w14:paraId="3BD407E9" w14:textId="1142EE18" w:rsidR="00427BFD" w:rsidRPr="00427BFD" w:rsidRDefault="00F20A5C" w:rsidP="00427BFD">
      <w:pPr>
        <w:shd w:val="clear" w:color="auto" w:fill="FFFFFF"/>
        <w:jc w:val="both"/>
        <w:rPr>
          <w:color w:val="000000"/>
        </w:rPr>
      </w:pPr>
      <w:r w:rsidRPr="007C284F">
        <w:rPr>
          <w:color w:val="000000"/>
        </w:rPr>
        <w:t>Također,</w:t>
      </w:r>
      <w:r w:rsidR="00427BFD" w:rsidRPr="007C284F">
        <w:rPr>
          <w:color w:val="000000"/>
        </w:rPr>
        <w:t xml:space="preserve"> u okviru kapitalne pomoći trgovačkim društvima i obrtnicima po protestiranim jamstvima</w:t>
      </w:r>
      <w:r w:rsidRPr="007C284F">
        <w:rPr>
          <w:color w:val="000000"/>
        </w:rPr>
        <w:t xml:space="preserve"> ostvareno je 275.459.882,37 kuna rashoda </w:t>
      </w:r>
      <w:r w:rsidR="00427BFD" w:rsidRPr="007C284F">
        <w:rPr>
          <w:color w:val="000000"/>
        </w:rPr>
        <w:t>koji su klasificirani podaci sukladno Zakonu o tajnosti podataka kojim se uređuje pojam klasificiranih i neklasificiranih podataka.</w:t>
      </w:r>
    </w:p>
    <w:p w14:paraId="504038B4" w14:textId="77777777" w:rsidR="00427BFD" w:rsidRPr="00427BFD" w:rsidRDefault="00427BFD" w:rsidP="00427BFD">
      <w:pPr>
        <w:shd w:val="clear" w:color="auto" w:fill="FFFFFF"/>
        <w:jc w:val="both"/>
        <w:rPr>
          <w:color w:val="000000"/>
        </w:rPr>
      </w:pPr>
    </w:p>
    <w:p w14:paraId="54DC66D9" w14:textId="633CBE34" w:rsidR="00F20A5C" w:rsidRPr="00427BFD" w:rsidRDefault="00DF691F" w:rsidP="00E330A8">
      <w:pPr>
        <w:shd w:val="clear" w:color="auto" w:fill="FFFFFF"/>
        <w:jc w:val="both"/>
        <w:rPr>
          <w:color w:val="000000"/>
        </w:rPr>
      </w:pPr>
      <w:r w:rsidRPr="00427BFD">
        <w:rPr>
          <w:color w:val="000000"/>
        </w:rPr>
        <w:t xml:space="preserve">Ministarstvo financija izdalo je za društvo HŽ </w:t>
      </w:r>
      <w:proofErr w:type="spellStart"/>
      <w:r w:rsidRPr="00427BFD">
        <w:rPr>
          <w:color w:val="000000"/>
        </w:rPr>
        <w:t>Cargo</w:t>
      </w:r>
      <w:proofErr w:type="spellEnd"/>
      <w:r w:rsidRPr="00427BFD">
        <w:rPr>
          <w:color w:val="000000"/>
        </w:rPr>
        <w:t xml:space="preserve"> d.o.o. u 2015. godini državno jamstvo Riznični broj F-029-15 u korist IBRD te 2016. godine državno jamstvo Riznični broj F-014-16 u korist Hrvatske poštanske banke d.d. i Croatia banke d.d.. Temeljem navedenih izdanih i protestiranih državnih jamstava za društvo HŽ </w:t>
      </w:r>
      <w:proofErr w:type="spellStart"/>
      <w:r w:rsidRPr="00427BFD">
        <w:rPr>
          <w:color w:val="000000"/>
        </w:rPr>
        <w:t>Cargo</w:t>
      </w:r>
      <w:proofErr w:type="spellEnd"/>
      <w:r w:rsidRPr="00427BFD">
        <w:rPr>
          <w:color w:val="000000"/>
        </w:rPr>
        <w:t xml:space="preserve"> d.o.o., Ministarstvo financija izvršilo je plaćanja u iznosu od 30.509.831,56 kuna.</w:t>
      </w:r>
    </w:p>
    <w:p w14:paraId="4294E3F5" w14:textId="4280015F" w:rsidR="003178AC" w:rsidRPr="00DF691F" w:rsidRDefault="003178AC" w:rsidP="00E330A8">
      <w:pPr>
        <w:shd w:val="clear" w:color="auto" w:fill="FFFFFF"/>
        <w:jc w:val="both"/>
        <w:rPr>
          <w:color w:val="000000"/>
          <w:highlight w:val="green"/>
        </w:rPr>
      </w:pPr>
    </w:p>
    <w:p w14:paraId="45DDD2B9" w14:textId="533F81D7" w:rsidR="0027093F" w:rsidRPr="00427BFD" w:rsidRDefault="00F4732E" w:rsidP="0027093F">
      <w:pPr>
        <w:pStyle w:val="Naslov"/>
        <w:keepNext/>
        <w:rPr>
          <w:b w:val="0"/>
          <w:bCs w:val="0"/>
        </w:rPr>
      </w:pPr>
      <w:r w:rsidRPr="00427BFD">
        <w:rPr>
          <w:b w:val="0"/>
          <w:bCs w:val="0"/>
        </w:rPr>
        <w:lastRenderedPageBreak/>
        <w:t xml:space="preserve">Bilješka </w:t>
      </w:r>
      <w:r w:rsidR="00E7442D">
        <w:rPr>
          <w:b w:val="0"/>
          <w:bCs w:val="0"/>
        </w:rPr>
        <w:t>36</w:t>
      </w:r>
      <w:r w:rsidR="0027093F" w:rsidRPr="00427BFD">
        <w:rPr>
          <w:b w:val="0"/>
          <w:bCs w:val="0"/>
        </w:rPr>
        <w:t>.</w:t>
      </w:r>
    </w:p>
    <w:p w14:paraId="3337789D" w14:textId="6EBCC429" w:rsidR="0027093F" w:rsidRPr="00427BFD" w:rsidRDefault="005E365B" w:rsidP="00F4732E">
      <w:pPr>
        <w:pStyle w:val="Naslov"/>
        <w:keepNext/>
        <w:rPr>
          <w:b w:val="0"/>
          <w:bCs w:val="0"/>
          <w:szCs w:val="28"/>
        </w:rPr>
      </w:pPr>
      <w:r w:rsidRPr="00427BFD">
        <w:rPr>
          <w:b w:val="0"/>
          <w:bCs w:val="0"/>
          <w:szCs w:val="28"/>
        </w:rPr>
        <w:t>Šifra 7111</w:t>
      </w:r>
      <w:r w:rsidR="0027093F" w:rsidRPr="00427BFD">
        <w:rPr>
          <w:b w:val="0"/>
          <w:bCs w:val="0"/>
          <w:szCs w:val="28"/>
        </w:rPr>
        <w:t xml:space="preserve"> Zemljište</w:t>
      </w:r>
    </w:p>
    <w:p w14:paraId="2278C98A" w14:textId="24064112" w:rsidR="00924507" w:rsidRPr="00E7442D" w:rsidRDefault="005E365B" w:rsidP="00E7442D">
      <w:pPr>
        <w:pStyle w:val="Naslov"/>
        <w:keepNext/>
        <w:jc w:val="both"/>
        <w:rPr>
          <w:b w:val="0"/>
          <w:bCs w:val="0"/>
          <w:sz w:val="24"/>
        </w:rPr>
      </w:pPr>
      <w:r w:rsidRPr="00427BFD">
        <w:rPr>
          <w:b w:val="0"/>
          <w:bCs w:val="0"/>
          <w:sz w:val="24"/>
        </w:rPr>
        <w:t xml:space="preserve">U 2022. godini ostvareno je 96.619.871,92 prihoda od prodaje zemljišta. Navedeni prihodi </w:t>
      </w:r>
      <w:r w:rsidR="00251970" w:rsidRPr="00427BFD">
        <w:rPr>
          <w:b w:val="0"/>
          <w:bCs w:val="0"/>
          <w:sz w:val="24"/>
        </w:rPr>
        <w:t>odnose se na uplate od prodaje</w:t>
      </w:r>
      <w:r w:rsidR="003178AC" w:rsidRPr="00427BFD">
        <w:rPr>
          <w:b w:val="0"/>
          <w:bCs w:val="0"/>
          <w:sz w:val="24"/>
        </w:rPr>
        <w:t xml:space="preserve"> zemljišta u vlasništvu RH </w:t>
      </w:r>
      <w:r w:rsidR="00251970" w:rsidRPr="00427BFD">
        <w:rPr>
          <w:b w:val="0"/>
          <w:bCs w:val="0"/>
          <w:sz w:val="24"/>
        </w:rPr>
        <w:t>za čiju je naplatu zaduženo</w:t>
      </w:r>
      <w:r w:rsidR="003178AC" w:rsidRPr="00427BFD">
        <w:rPr>
          <w:b w:val="0"/>
          <w:bCs w:val="0"/>
          <w:sz w:val="24"/>
        </w:rPr>
        <w:t xml:space="preserve"> Min</w:t>
      </w:r>
      <w:r w:rsidR="00251970" w:rsidRPr="00427BFD">
        <w:rPr>
          <w:b w:val="0"/>
          <w:bCs w:val="0"/>
          <w:sz w:val="24"/>
        </w:rPr>
        <w:t xml:space="preserve">istarstvo graditeljstva, prostornog uređenja i </w:t>
      </w:r>
      <w:r w:rsidR="003178AC" w:rsidRPr="00427BFD">
        <w:rPr>
          <w:b w:val="0"/>
          <w:bCs w:val="0"/>
          <w:sz w:val="24"/>
        </w:rPr>
        <w:t xml:space="preserve">državne imovine. </w:t>
      </w:r>
    </w:p>
    <w:p w14:paraId="4ED82194" w14:textId="77777777" w:rsidR="003178AC" w:rsidRPr="00427BFD" w:rsidRDefault="003178AC" w:rsidP="00E330A8">
      <w:pPr>
        <w:shd w:val="clear" w:color="auto" w:fill="FFFFFF"/>
        <w:jc w:val="both"/>
        <w:rPr>
          <w:color w:val="000000"/>
        </w:rPr>
      </w:pPr>
    </w:p>
    <w:p w14:paraId="3F718A46" w14:textId="2EAE276A" w:rsidR="005A7E92" w:rsidRPr="00427BFD" w:rsidRDefault="00F4732E" w:rsidP="005A7E92">
      <w:pPr>
        <w:pStyle w:val="Naslov"/>
        <w:keepNext/>
        <w:rPr>
          <w:b w:val="0"/>
          <w:bCs w:val="0"/>
        </w:rPr>
      </w:pPr>
      <w:r w:rsidRPr="00427BFD">
        <w:rPr>
          <w:b w:val="0"/>
          <w:bCs w:val="0"/>
        </w:rPr>
        <w:t xml:space="preserve">Bilješka </w:t>
      </w:r>
      <w:r w:rsidR="00E7442D">
        <w:rPr>
          <w:b w:val="0"/>
          <w:bCs w:val="0"/>
        </w:rPr>
        <w:t>37</w:t>
      </w:r>
      <w:r w:rsidR="005A7E92" w:rsidRPr="00427BFD">
        <w:rPr>
          <w:b w:val="0"/>
          <w:bCs w:val="0"/>
        </w:rPr>
        <w:t>.</w:t>
      </w:r>
    </w:p>
    <w:p w14:paraId="311A5952" w14:textId="24ABD8A1" w:rsidR="005A7E92" w:rsidRPr="00427BFD" w:rsidRDefault="00EC180A" w:rsidP="00F4732E">
      <w:pPr>
        <w:pStyle w:val="Naslov"/>
        <w:keepNext/>
        <w:rPr>
          <w:b w:val="0"/>
          <w:bCs w:val="0"/>
        </w:rPr>
      </w:pPr>
      <w:r w:rsidRPr="00427BFD">
        <w:rPr>
          <w:b w:val="0"/>
          <w:bCs w:val="0"/>
        </w:rPr>
        <w:t>Šifra 7233</w:t>
      </w:r>
      <w:r w:rsidR="005A7E92" w:rsidRPr="00427BFD">
        <w:rPr>
          <w:b w:val="0"/>
          <w:bCs w:val="0"/>
        </w:rPr>
        <w:t xml:space="preserve"> Prijevozna sredstva u pomorskom i riječnom prometu</w:t>
      </w:r>
    </w:p>
    <w:p w14:paraId="34877139" w14:textId="6878A39C" w:rsidR="00117F1C" w:rsidRPr="00427BFD" w:rsidRDefault="00117F1C" w:rsidP="00117F1C">
      <w:pPr>
        <w:pStyle w:val="Naslov"/>
        <w:keepNext/>
        <w:jc w:val="both"/>
        <w:rPr>
          <w:b w:val="0"/>
          <w:bCs w:val="0"/>
          <w:sz w:val="24"/>
        </w:rPr>
      </w:pPr>
      <w:r w:rsidRPr="00427BFD">
        <w:rPr>
          <w:b w:val="0"/>
          <w:bCs w:val="0"/>
          <w:sz w:val="24"/>
        </w:rPr>
        <w:t xml:space="preserve">U 2022. godini ostvareno je 384.865.673,20 kuna prihoda od prodaje </w:t>
      </w:r>
      <w:r w:rsidR="00B63A6F" w:rsidRPr="00427BFD">
        <w:rPr>
          <w:b w:val="0"/>
          <w:bCs w:val="0"/>
          <w:sz w:val="24"/>
        </w:rPr>
        <w:t xml:space="preserve">prijevoznih </w:t>
      </w:r>
      <w:r w:rsidRPr="00427BFD">
        <w:rPr>
          <w:b w:val="0"/>
          <w:bCs w:val="0"/>
          <w:sz w:val="24"/>
        </w:rPr>
        <w:t>sredst</w:t>
      </w:r>
      <w:r w:rsidR="00B63A6F" w:rsidRPr="00427BFD">
        <w:rPr>
          <w:b w:val="0"/>
          <w:bCs w:val="0"/>
          <w:sz w:val="24"/>
        </w:rPr>
        <w:t>a</w:t>
      </w:r>
      <w:r w:rsidRPr="00427BFD">
        <w:rPr>
          <w:b w:val="0"/>
          <w:bCs w:val="0"/>
          <w:sz w:val="24"/>
        </w:rPr>
        <w:t xml:space="preserve">va u pomorskom i riječnom prometu. </w:t>
      </w:r>
    </w:p>
    <w:p w14:paraId="5205042E" w14:textId="77777777" w:rsidR="00117F1C" w:rsidRPr="00427BFD" w:rsidRDefault="00117F1C" w:rsidP="00117F1C">
      <w:pPr>
        <w:pStyle w:val="Naslov"/>
        <w:keepNext/>
        <w:jc w:val="both"/>
        <w:rPr>
          <w:b w:val="0"/>
          <w:bCs w:val="0"/>
          <w:sz w:val="24"/>
        </w:rPr>
      </w:pPr>
    </w:p>
    <w:p w14:paraId="4BC69884" w14:textId="05DF60CE" w:rsidR="005A0047" w:rsidRPr="00427BFD" w:rsidRDefault="00117F1C" w:rsidP="005A0047">
      <w:pPr>
        <w:pStyle w:val="Naslov"/>
        <w:keepNext/>
        <w:jc w:val="both"/>
        <w:rPr>
          <w:b w:val="0"/>
          <w:bCs w:val="0"/>
          <w:sz w:val="24"/>
        </w:rPr>
      </w:pPr>
      <w:r w:rsidRPr="00427BFD">
        <w:rPr>
          <w:b w:val="0"/>
          <w:bCs w:val="0"/>
          <w:sz w:val="24"/>
        </w:rPr>
        <w:t xml:space="preserve">Od navedenih prihoda iznos od </w:t>
      </w:r>
      <w:r w:rsidR="00B63A6F" w:rsidRPr="00427BFD">
        <w:rPr>
          <w:b w:val="0"/>
          <w:bCs w:val="0"/>
          <w:sz w:val="24"/>
        </w:rPr>
        <w:t xml:space="preserve">384.821.494,20 </w:t>
      </w:r>
      <w:r w:rsidRPr="00427BFD">
        <w:rPr>
          <w:b w:val="0"/>
          <w:bCs w:val="0"/>
          <w:sz w:val="24"/>
        </w:rPr>
        <w:t xml:space="preserve">odnosi se na uplate temeljem Ugovora o kupoprodaji broda  Nov. 514. </w:t>
      </w:r>
      <w:r w:rsidR="005A0047" w:rsidRPr="00427BFD">
        <w:rPr>
          <w:b w:val="0"/>
          <w:bCs w:val="0"/>
          <w:sz w:val="24"/>
        </w:rPr>
        <w:t>Na osnovu Zaključka Vlade Republike Hrvatske od 29. listopada 2020. godine vezano za preuzimanje i završetak gradnje broda Nov 514 u društvu 3. Maj Brodogradilište d.d., Rijeka (KLASA: 022-03/20-07/306, URBROJ: 50301-05/27-20-2), Zaključka Vlade o načinu raspolaganja i završetku gradnje broda Nov. 514 (KLASA: 022-03/21-07/49, URBROJ: 50301-05/27-21-2) i Zaključka o izmjenama Zaključka od 18. veljače 2021. godine (KLASA: 022-03/21-07/269, URBROJ: 50301-05/27-21-3) Ministarstvo gospodarstva i održivog razvoja sklopilo je s kupcem odabranim temeljem Javnog poziva za podnošenje obvezujućih ponuda za kupnju broda Nov. 514 Ugovor o kupoprodaji broda Nov. 514.</w:t>
      </w:r>
    </w:p>
    <w:p w14:paraId="08C6DF3E" w14:textId="77777777" w:rsidR="005A0047" w:rsidRPr="00427BFD" w:rsidRDefault="005A0047" w:rsidP="005A0047">
      <w:pPr>
        <w:pStyle w:val="Naslov"/>
        <w:keepNext/>
        <w:jc w:val="both"/>
        <w:rPr>
          <w:b w:val="0"/>
          <w:bCs w:val="0"/>
          <w:sz w:val="24"/>
        </w:rPr>
      </w:pPr>
    </w:p>
    <w:p w14:paraId="2406CBB9" w14:textId="1C62AA73" w:rsidR="005A0047" w:rsidRPr="00427BFD" w:rsidRDefault="005A0047" w:rsidP="005A0047">
      <w:pPr>
        <w:pStyle w:val="Naslov"/>
        <w:keepNext/>
        <w:jc w:val="both"/>
        <w:rPr>
          <w:b w:val="0"/>
          <w:bCs w:val="0"/>
          <w:sz w:val="24"/>
        </w:rPr>
      </w:pPr>
      <w:r w:rsidRPr="00427BFD">
        <w:rPr>
          <w:b w:val="0"/>
          <w:bCs w:val="0"/>
          <w:sz w:val="24"/>
        </w:rPr>
        <w:t xml:space="preserve">Temeljem Ugovora o kupoprodaji 24. prosinca 2021. na </w:t>
      </w:r>
      <w:proofErr w:type="spellStart"/>
      <w:r w:rsidRPr="00427BFD">
        <w:rPr>
          <w:b w:val="0"/>
          <w:bCs w:val="0"/>
          <w:sz w:val="24"/>
        </w:rPr>
        <w:t>eurski</w:t>
      </w:r>
      <w:proofErr w:type="spellEnd"/>
      <w:r w:rsidRPr="00427BFD">
        <w:rPr>
          <w:b w:val="0"/>
          <w:bCs w:val="0"/>
          <w:sz w:val="24"/>
        </w:rPr>
        <w:t xml:space="preserve"> devizni račun državnog proračuna otvoren u HNB-u od strane </w:t>
      </w:r>
      <w:r w:rsidR="00083DB5" w:rsidRPr="00427BFD">
        <w:rPr>
          <w:b w:val="0"/>
          <w:bCs w:val="0"/>
          <w:sz w:val="24"/>
        </w:rPr>
        <w:t>kupca</w:t>
      </w:r>
      <w:r w:rsidRPr="00427BFD">
        <w:rPr>
          <w:b w:val="0"/>
          <w:bCs w:val="0"/>
          <w:sz w:val="24"/>
        </w:rPr>
        <w:t xml:space="preserve"> uplaćen je </w:t>
      </w:r>
      <w:r w:rsidR="00083DB5" w:rsidRPr="00427BFD">
        <w:rPr>
          <w:b w:val="0"/>
          <w:bCs w:val="0"/>
          <w:sz w:val="24"/>
        </w:rPr>
        <w:t xml:space="preserve">predujam u iznosu </w:t>
      </w:r>
      <w:r w:rsidRPr="00427BFD">
        <w:rPr>
          <w:b w:val="0"/>
          <w:bCs w:val="0"/>
          <w:sz w:val="24"/>
        </w:rPr>
        <w:t xml:space="preserve">od 2.561.000,00 eura. </w:t>
      </w:r>
      <w:r w:rsidR="00083DB5" w:rsidRPr="00427BFD">
        <w:rPr>
          <w:b w:val="0"/>
          <w:bCs w:val="0"/>
          <w:sz w:val="24"/>
        </w:rPr>
        <w:t>U</w:t>
      </w:r>
      <w:r w:rsidRPr="00427BFD">
        <w:rPr>
          <w:b w:val="0"/>
          <w:bCs w:val="0"/>
          <w:sz w:val="24"/>
        </w:rPr>
        <w:t>plaćeni predujam u iznosu od 2.561.000,00 eura evidentiran je na račun obveza za predujmove 239510000.</w:t>
      </w:r>
    </w:p>
    <w:p w14:paraId="3E9BC30C" w14:textId="77777777" w:rsidR="005A0047" w:rsidRPr="00427BFD" w:rsidRDefault="005A0047" w:rsidP="005A0047">
      <w:pPr>
        <w:pStyle w:val="Naslov"/>
        <w:keepNext/>
        <w:jc w:val="both"/>
        <w:rPr>
          <w:b w:val="0"/>
          <w:bCs w:val="0"/>
          <w:sz w:val="24"/>
        </w:rPr>
      </w:pPr>
    </w:p>
    <w:p w14:paraId="70328DFB" w14:textId="6FD60A8C" w:rsidR="005A0047" w:rsidRPr="00427BFD" w:rsidRDefault="005A0047" w:rsidP="005A0047">
      <w:pPr>
        <w:pStyle w:val="Naslov"/>
        <w:keepNext/>
        <w:jc w:val="both"/>
        <w:rPr>
          <w:b w:val="0"/>
          <w:bCs w:val="0"/>
          <w:sz w:val="24"/>
        </w:rPr>
      </w:pPr>
      <w:r w:rsidRPr="00427BFD">
        <w:rPr>
          <w:b w:val="0"/>
          <w:bCs w:val="0"/>
          <w:sz w:val="24"/>
        </w:rPr>
        <w:t xml:space="preserve">Dana 12. srpnja 2022. na </w:t>
      </w:r>
      <w:proofErr w:type="spellStart"/>
      <w:r w:rsidRPr="00427BFD">
        <w:rPr>
          <w:b w:val="0"/>
          <w:bCs w:val="0"/>
          <w:sz w:val="24"/>
        </w:rPr>
        <w:t>eurski</w:t>
      </w:r>
      <w:proofErr w:type="spellEnd"/>
      <w:r w:rsidRPr="00427BFD">
        <w:rPr>
          <w:b w:val="0"/>
          <w:bCs w:val="0"/>
          <w:sz w:val="24"/>
        </w:rPr>
        <w:t xml:space="preserve"> devizni račun državnog proračuna otvoren u HNB-u od strane </w:t>
      </w:r>
      <w:r w:rsidR="00083DB5" w:rsidRPr="00427BFD">
        <w:rPr>
          <w:b w:val="0"/>
          <w:bCs w:val="0"/>
          <w:sz w:val="24"/>
        </w:rPr>
        <w:t>kupca</w:t>
      </w:r>
      <w:r w:rsidRPr="00427BFD">
        <w:rPr>
          <w:b w:val="0"/>
          <w:bCs w:val="0"/>
          <w:sz w:val="24"/>
        </w:rPr>
        <w:t xml:space="preserve"> uplaćen je iznos od 48.659.000,00 eura u visini preostale vrijednosti broda koju je kupac temeljem Ugovora bio obvezan uplatiti. Navedena uplata evidentirana je na računu prihoda od prodaje nefinancijske imovine 723310000 Plovila. Također, s računa obveze za predujmove zaduženjem računa 239510000 i odobrenjem računa 723310000 iznos od 2.561.000,00 eura prenesen je s obveze za predujam na prihode od prodaje nefinancijske imovine.</w:t>
      </w:r>
    </w:p>
    <w:p w14:paraId="3F246AF5" w14:textId="77777777" w:rsidR="005A0047" w:rsidRPr="00427BFD" w:rsidRDefault="005A0047" w:rsidP="005A0047">
      <w:pPr>
        <w:pStyle w:val="Naslov"/>
        <w:keepNext/>
        <w:jc w:val="both"/>
        <w:rPr>
          <w:rFonts w:ascii="Calibri" w:hAnsi="Calibri" w:cs="Calibri"/>
          <w:b w:val="0"/>
          <w:bCs w:val="0"/>
          <w:color w:val="000000"/>
          <w:sz w:val="24"/>
        </w:rPr>
      </w:pPr>
    </w:p>
    <w:p w14:paraId="6B92F628" w14:textId="4E62C25A" w:rsidR="003178AC" w:rsidRPr="00427BFD" w:rsidRDefault="003178AC" w:rsidP="00B63A6F">
      <w:pPr>
        <w:pStyle w:val="Naslov"/>
        <w:keepNext/>
        <w:rPr>
          <w:b w:val="0"/>
          <w:bCs w:val="0"/>
        </w:rPr>
      </w:pPr>
      <w:r w:rsidRPr="00427BFD">
        <w:rPr>
          <w:b w:val="0"/>
          <w:bCs w:val="0"/>
        </w:rPr>
        <w:t xml:space="preserve">Bilješka </w:t>
      </w:r>
      <w:r w:rsidR="00E7442D">
        <w:rPr>
          <w:b w:val="0"/>
          <w:bCs w:val="0"/>
        </w:rPr>
        <w:t>38</w:t>
      </w:r>
      <w:r w:rsidRPr="00427BFD">
        <w:rPr>
          <w:b w:val="0"/>
          <w:bCs w:val="0"/>
        </w:rPr>
        <w:t>.</w:t>
      </w:r>
    </w:p>
    <w:p w14:paraId="7FFA479A" w14:textId="61D2883A" w:rsidR="003178AC" w:rsidRPr="00427BFD" w:rsidRDefault="003178AC" w:rsidP="003178AC">
      <w:pPr>
        <w:pStyle w:val="Naslov"/>
        <w:keepNext/>
        <w:rPr>
          <w:b w:val="0"/>
          <w:bCs w:val="0"/>
        </w:rPr>
      </w:pPr>
      <w:r w:rsidRPr="00427BFD">
        <w:rPr>
          <w:b w:val="0"/>
          <w:bCs w:val="0"/>
        </w:rPr>
        <w:t>Šifra 741 Prihodi od prodaje zaliha</w:t>
      </w:r>
    </w:p>
    <w:p w14:paraId="7E59E5AC" w14:textId="10C61337" w:rsidR="00005147" w:rsidRPr="00E7442D" w:rsidRDefault="00005147" w:rsidP="00E7442D">
      <w:pPr>
        <w:jc w:val="both"/>
      </w:pPr>
      <w:r w:rsidRPr="00427BFD">
        <w:t>Iznos od 2.781.392,19 evidentiran u okviru ovog prihoda odnosi se na prodaju neperspektivne vojne opreme. Detalji poslovnog događaja klasificirani su podaci sukladno Zakonu o tajnosti podataka kojim se uređuje pojam klasificiranih i neklasificiranih podataka.</w:t>
      </w:r>
    </w:p>
    <w:p w14:paraId="55CF22A9" w14:textId="28A12284" w:rsidR="00211BA2" w:rsidRPr="00427BFD" w:rsidRDefault="00211BA2" w:rsidP="00005147">
      <w:pPr>
        <w:pStyle w:val="Naslov"/>
        <w:keepNext/>
        <w:jc w:val="left"/>
        <w:rPr>
          <w:b w:val="0"/>
          <w:bCs w:val="0"/>
        </w:rPr>
      </w:pPr>
    </w:p>
    <w:p w14:paraId="24530629" w14:textId="116958C4" w:rsidR="00D1577D" w:rsidRPr="00427BFD" w:rsidRDefault="00D1577D" w:rsidP="003178AC">
      <w:pPr>
        <w:pStyle w:val="Naslov"/>
        <w:keepNext/>
        <w:rPr>
          <w:b w:val="0"/>
          <w:bCs w:val="0"/>
        </w:rPr>
      </w:pPr>
      <w:r w:rsidRPr="00427BFD">
        <w:rPr>
          <w:b w:val="0"/>
          <w:bCs w:val="0"/>
        </w:rPr>
        <w:t xml:space="preserve">Bilješka </w:t>
      </w:r>
      <w:r w:rsidR="00E7442D">
        <w:rPr>
          <w:b w:val="0"/>
          <w:bCs w:val="0"/>
        </w:rPr>
        <w:t>39</w:t>
      </w:r>
      <w:r w:rsidR="00016F96" w:rsidRPr="00427BFD">
        <w:rPr>
          <w:b w:val="0"/>
          <w:bCs w:val="0"/>
        </w:rPr>
        <w:t>.</w:t>
      </w:r>
    </w:p>
    <w:p w14:paraId="23E8CDC6" w14:textId="455CBCC6" w:rsidR="003178AC" w:rsidRPr="00427BFD" w:rsidRDefault="00D1577D" w:rsidP="003178AC">
      <w:pPr>
        <w:pStyle w:val="Naslov"/>
        <w:keepNext/>
        <w:rPr>
          <w:b w:val="0"/>
          <w:bCs w:val="0"/>
        </w:rPr>
      </w:pPr>
      <w:r w:rsidRPr="00427BFD">
        <w:rPr>
          <w:b w:val="0"/>
          <w:bCs w:val="0"/>
        </w:rPr>
        <w:t xml:space="preserve">Šifra 4212 Poslovni objekti </w:t>
      </w:r>
    </w:p>
    <w:p w14:paraId="79420653" w14:textId="297E9A8A" w:rsidR="00D1577D" w:rsidRPr="00427BFD" w:rsidRDefault="00D1577D" w:rsidP="00D1577D">
      <w:pPr>
        <w:pStyle w:val="Naslov"/>
        <w:keepNext/>
        <w:jc w:val="both"/>
        <w:rPr>
          <w:b w:val="0"/>
          <w:bCs w:val="0"/>
          <w:sz w:val="24"/>
        </w:rPr>
      </w:pPr>
      <w:r w:rsidRPr="00427BFD">
        <w:rPr>
          <w:b w:val="0"/>
          <w:bCs w:val="0"/>
          <w:sz w:val="24"/>
        </w:rPr>
        <w:t>U 2022. godini rashodi za nabavu nefina</w:t>
      </w:r>
      <w:r w:rsidR="007C284F">
        <w:rPr>
          <w:b w:val="0"/>
          <w:bCs w:val="0"/>
          <w:sz w:val="24"/>
        </w:rPr>
        <w:t>n</w:t>
      </w:r>
      <w:r w:rsidRPr="00427BFD">
        <w:rPr>
          <w:b w:val="0"/>
          <w:bCs w:val="0"/>
          <w:sz w:val="24"/>
        </w:rPr>
        <w:t>cijske imovine (poslovni objekti) iznosili su 5.220.000,00 kuna. Navedeni iznos odnosi se na upisano vlasništvo u korist Republike Hrvatske temeljem Rješenja Zemljišnoknjižnog odjela Općinskog građanskog suda u Zagrebu Posl.br. Z-48832/2022-5 od 17. listopada 2022. godine na 2/5 dijelova nekretnine u vlasništvu društva HE-TO TRADE d.o.o., čija je procijenjena vrijednost 5.220.000,00 kuna.</w:t>
      </w:r>
    </w:p>
    <w:p w14:paraId="1EE5E09D" w14:textId="77777777" w:rsidR="00D1577D" w:rsidRPr="00427BFD" w:rsidRDefault="00D1577D" w:rsidP="00D1577D">
      <w:pPr>
        <w:shd w:val="clear" w:color="auto" w:fill="FFFFFF"/>
        <w:rPr>
          <w:rFonts w:ascii="Calibri" w:hAnsi="Calibri" w:cs="Calibri"/>
          <w:color w:val="000000"/>
          <w:sz w:val="22"/>
          <w:szCs w:val="22"/>
        </w:rPr>
      </w:pPr>
    </w:p>
    <w:p w14:paraId="48843D93" w14:textId="77777777" w:rsidR="00D1577D" w:rsidRPr="00427BFD" w:rsidRDefault="00D1577D" w:rsidP="00D1577D">
      <w:pPr>
        <w:pStyle w:val="Naslov"/>
        <w:keepNext/>
        <w:jc w:val="both"/>
        <w:rPr>
          <w:b w:val="0"/>
          <w:bCs w:val="0"/>
          <w:sz w:val="24"/>
        </w:rPr>
      </w:pPr>
    </w:p>
    <w:p w14:paraId="0A294852" w14:textId="19950536" w:rsidR="00394FA2" w:rsidRPr="00427BFD" w:rsidRDefault="00D1577D" w:rsidP="00D1577D">
      <w:pPr>
        <w:pStyle w:val="Naslov"/>
        <w:keepNext/>
        <w:jc w:val="both"/>
        <w:rPr>
          <w:b w:val="0"/>
          <w:bCs w:val="0"/>
          <w:sz w:val="24"/>
        </w:rPr>
      </w:pPr>
      <w:r w:rsidRPr="00427BFD">
        <w:rPr>
          <w:b w:val="0"/>
          <w:bCs w:val="0"/>
          <w:sz w:val="24"/>
        </w:rPr>
        <w:t>Naime, R</w:t>
      </w:r>
      <w:r w:rsidR="00394FA2" w:rsidRPr="00427BFD">
        <w:rPr>
          <w:b w:val="0"/>
          <w:bCs w:val="0"/>
          <w:sz w:val="24"/>
        </w:rPr>
        <w:t xml:space="preserve">ješenjem Trgovačkog suda u Zagrebu broj: 48. St-652/17-35 od 3. listopada 2019. godine, koje je postalo pravomoćno dana 25. studenog 2019. godine, odobreno je sklapanje </w:t>
      </w:r>
      <w:proofErr w:type="spellStart"/>
      <w:r w:rsidR="00394FA2" w:rsidRPr="00427BFD">
        <w:rPr>
          <w:b w:val="0"/>
          <w:bCs w:val="0"/>
          <w:sz w:val="24"/>
        </w:rPr>
        <w:t>predstečajne</w:t>
      </w:r>
      <w:proofErr w:type="spellEnd"/>
      <w:r w:rsidR="00394FA2" w:rsidRPr="00427BFD">
        <w:rPr>
          <w:b w:val="0"/>
          <w:bCs w:val="0"/>
          <w:sz w:val="24"/>
        </w:rPr>
        <w:t xml:space="preserve"> nagodbe u postupku nad dužnikom MUNJA d.d., Zagreb, </w:t>
      </w:r>
      <w:proofErr w:type="spellStart"/>
      <w:r w:rsidR="00394FA2" w:rsidRPr="00427BFD">
        <w:rPr>
          <w:b w:val="0"/>
          <w:bCs w:val="0"/>
          <w:sz w:val="24"/>
        </w:rPr>
        <w:t>Koledovčina</w:t>
      </w:r>
      <w:proofErr w:type="spellEnd"/>
      <w:r w:rsidR="00394FA2" w:rsidRPr="00427BFD">
        <w:rPr>
          <w:b w:val="0"/>
          <w:bCs w:val="0"/>
          <w:sz w:val="24"/>
        </w:rPr>
        <w:t xml:space="preserve"> 3, OIB: 18961324564.</w:t>
      </w:r>
    </w:p>
    <w:p w14:paraId="6CC83A04" w14:textId="77777777" w:rsidR="00394FA2" w:rsidRPr="00427BFD" w:rsidRDefault="00394FA2" w:rsidP="00D1577D">
      <w:pPr>
        <w:pStyle w:val="Naslov"/>
        <w:keepNext/>
        <w:jc w:val="both"/>
        <w:rPr>
          <w:b w:val="0"/>
          <w:bCs w:val="0"/>
          <w:sz w:val="24"/>
        </w:rPr>
      </w:pPr>
      <w:r w:rsidRPr="00427BFD">
        <w:rPr>
          <w:b w:val="0"/>
          <w:bCs w:val="0"/>
          <w:sz w:val="24"/>
        </w:rPr>
        <w:t> </w:t>
      </w:r>
    </w:p>
    <w:p w14:paraId="5866AF8D" w14:textId="4211DAC7" w:rsidR="00394FA2" w:rsidRPr="00427BFD" w:rsidRDefault="00394FA2" w:rsidP="00D1577D">
      <w:pPr>
        <w:pStyle w:val="Naslov"/>
        <w:keepNext/>
        <w:jc w:val="both"/>
        <w:rPr>
          <w:b w:val="0"/>
          <w:bCs w:val="0"/>
          <w:sz w:val="24"/>
        </w:rPr>
      </w:pPr>
      <w:r w:rsidRPr="00427BFD">
        <w:rPr>
          <w:b w:val="0"/>
          <w:bCs w:val="0"/>
          <w:sz w:val="24"/>
        </w:rPr>
        <w:t>Istim Rješenjem tražbina Ministarstva financija - bivši Fond za razvoj i zapošljavanje, utvrđena u ukupnom iznos</w:t>
      </w:r>
      <w:r w:rsidR="00B50F65" w:rsidRPr="00427BFD">
        <w:rPr>
          <w:b w:val="0"/>
          <w:bCs w:val="0"/>
          <w:sz w:val="24"/>
        </w:rPr>
        <w:t xml:space="preserve">u od 13.017.988,28 kuna djelomično je </w:t>
      </w:r>
      <w:r w:rsidR="00D1577D" w:rsidRPr="00427BFD">
        <w:rPr>
          <w:b w:val="0"/>
          <w:bCs w:val="0"/>
          <w:sz w:val="24"/>
        </w:rPr>
        <w:t>namir</w:t>
      </w:r>
      <w:r w:rsidRPr="00427BFD">
        <w:rPr>
          <w:b w:val="0"/>
          <w:bCs w:val="0"/>
          <w:sz w:val="24"/>
        </w:rPr>
        <w:t>e</w:t>
      </w:r>
      <w:r w:rsidR="00D1577D" w:rsidRPr="00427BFD">
        <w:rPr>
          <w:b w:val="0"/>
          <w:bCs w:val="0"/>
          <w:sz w:val="24"/>
        </w:rPr>
        <w:t xml:space="preserve">na </w:t>
      </w:r>
      <w:r w:rsidR="00B50F65" w:rsidRPr="00427BFD">
        <w:rPr>
          <w:b w:val="0"/>
          <w:bCs w:val="0"/>
          <w:sz w:val="24"/>
        </w:rPr>
        <w:t>stjecanjem 2/5 dijelova nekretnine u vlasništvu je društva HE-TO TRADE d.o.o., čija je procijenjena vrijednost 5.220.000,00 kuna</w:t>
      </w:r>
    </w:p>
    <w:p w14:paraId="6B0A5398" w14:textId="77777777" w:rsidR="003A7E07" w:rsidRPr="00427BFD" w:rsidRDefault="003A7E07" w:rsidP="005A7E92">
      <w:pPr>
        <w:pStyle w:val="Naslov"/>
        <w:keepNext/>
        <w:jc w:val="both"/>
        <w:rPr>
          <w:rFonts w:eastAsia="Calibri"/>
          <w:b w:val="0"/>
          <w:bCs w:val="0"/>
          <w:sz w:val="24"/>
          <w:lang w:eastAsia="en-US"/>
        </w:rPr>
      </w:pPr>
    </w:p>
    <w:p w14:paraId="331ABB7A" w14:textId="3B8D4BF9" w:rsidR="00BB7271" w:rsidRPr="00427BFD" w:rsidRDefault="00F4732E" w:rsidP="00BB7271">
      <w:pPr>
        <w:pStyle w:val="Naslov"/>
        <w:keepNext/>
        <w:rPr>
          <w:b w:val="0"/>
          <w:bCs w:val="0"/>
        </w:rPr>
      </w:pPr>
      <w:r w:rsidRPr="00427BFD">
        <w:rPr>
          <w:b w:val="0"/>
          <w:bCs w:val="0"/>
        </w:rPr>
        <w:t xml:space="preserve">Bilješka </w:t>
      </w:r>
      <w:r w:rsidR="00E7442D">
        <w:rPr>
          <w:b w:val="0"/>
          <w:bCs w:val="0"/>
        </w:rPr>
        <w:t>40</w:t>
      </w:r>
      <w:r w:rsidR="00BB7271" w:rsidRPr="00427BFD">
        <w:rPr>
          <w:b w:val="0"/>
          <w:bCs w:val="0"/>
        </w:rPr>
        <w:t>.</w:t>
      </w:r>
    </w:p>
    <w:p w14:paraId="77994B74" w14:textId="416B07C5" w:rsidR="0022263F" w:rsidRPr="00427BFD" w:rsidRDefault="00DD5B47" w:rsidP="001E3891">
      <w:pPr>
        <w:pStyle w:val="Naslov"/>
        <w:keepNext/>
        <w:rPr>
          <w:b w:val="0"/>
        </w:rPr>
      </w:pPr>
      <w:r w:rsidRPr="00427BFD">
        <w:rPr>
          <w:b w:val="0"/>
        </w:rPr>
        <w:t>Šifra 8</w:t>
      </w:r>
      <w:r w:rsidR="00BB7271" w:rsidRPr="00427BFD">
        <w:rPr>
          <w:b w:val="0"/>
        </w:rPr>
        <w:t xml:space="preserve"> Primici od financijske imovine i zaduživanja </w:t>
      </w:r>
    </w:p>
    <w:p w14:paraId="74ED49E7" w14:textId="32021E0E" w:rsidR="00BB7271" w:rsidRDefault="00BB7271" w:rsidP="00BB7271">
      <w:pPr>
        <w:jc w:val="both"/>
        <w:rPr>
          <w:highlight w:val="green"/>
        </w:rPr>
      </w:pPr>
      <w:r w:rsidRPr="00427BFD">
        <w:t xml:space="preserve">Na </w:t>
      </w:r>
      <w:r w:rsidR="00DD5B47" w:rsidRPr="00427BFD">
        <w:t>Šifri 8</w:t>
      </w:r>
      <w:r w:rsidRPr="00427BFD">
        <w:t xml:space="preserve"> Primici od financij</w:t>
      </w:r>
      <w:r w:rsidR="00DD5B47" w:rsidRPr="00427BFD">
        <w:t>ske imovine i zaduživanja u 2022</w:t>
      </w:r>
      <w:r w:rsidRPr="00427BFD">
        <w:t xml:space="preserve">. godini iskazan je iznos od </w:t>
      </w:r>
      <w:r w:rsidR="00DD5B47" w:rsidRPr="001828BC">
        <w:t xml:space="preserve">41.401.791.330,06 </w:t>
      </w:r>
      <w:r w:rsidR="000A1386" w:rsidRPr="001828BC">
        <w:rPr>
          <w:bCs/>
        </w:rPr>
        <w:t>kuna</w:t>
      </w:r>
      <w:r w:rsidRPr="001828BC">
        <w:t xml:space="preserve"> koji </w:t>
      </w:r>
      <w:r w:rsidR="009F1B2E" w:rsidRPr="001828BC">
        <w:t>predstavlja</w:t>
      </w:r>
      <w:r w:rsidRPr="001828BC">
        <w:t xml:space="preserve"> naplaćene primitke od financijske imovine</w:t>
      </w:r>
      <w:r w:rsidR="00DD5B47" w:rsidRPr="001828BC">
        <w:t xml:space="preserve"> i zaduživanja. U odnosu na 2021</w:t>
      </w:r>
      <w:r w:rsidRPr="001828BC">
        <w:t xml:space="preserve">. godinu u kojoj je ostvareno </w:t>
      </w:r>
      <w:r w:rsidR="00DD5B47" w:rsidRPr="001828BC">
        <w:t>37.850.895.422,00</w:t>
      </w:r>
      <w:r w:rsidRPr="001828BC">
        <w:t xml:space="preserve"> </w:t>
      </w:r>
      <w:r w:rsidRPr="001828BC">
        <w:rPr>
          <w:bCs/>
        </w:rPr>
        <w:t>kuna</w:t>
      </w:r>
      <w:r w:rsidRPr="001828BC">
        <w:t xml:space="preserve"> iskazano je </w:t>
      </w:r>
      <w:r w:rsidR="00DD5B47" w:rsidRPr="001828BC">
        <w:t>povećanje</w:t>
      </w:r>
      <w:r w:rsidRPr="001828BC">
        <w:t xml:space="preserve"> od </w:t>
      </w:r>
      <w:r w:rsidR="00DD5B47" w:rsidRPr="001828BC">
        <w:t>9,4</w:t>
      </w:r>
      <w:r w:rsidRPr="001828BC">
        <w:t xml:space="preserve">%. </w:t>
      </w:r>
      <w:r w:rsidR="001E3891" w:rsidRPr="001828BC">
        <w:t>Primici od financijske imovine i zaduživanja obuhvaćaju dugoročne i kratkoročne primitke od financijske imovine i zaduživanja.</w:t>
      </w:r>
    </w:p>
    <w:p w14:paraId="4CF57C9A" w14:textId="77777777" w:rsidR="003A7E07" w:rsidRDefault="003A7E07" w:rsidP="00BB7271">
      <w:pPr>
        <w:jc w:val="both"/>
        <w:rPr>
          <w:highlight w:val="yellow"/>
        </w:rPr>
      </w:pPr>
    </w:p>
    <w:p w14:paraId="47B909E0" w14:textId="32041940" w:rsidR="00F5082F" w:rsidRPr="003D6EB3" w:rsidRDefault="00F5082F" w:rsidP="00F5082F">
      <w:pPr>
        <w:jc w:val="both"/>
      </w:pPr>
      <w:r w:rsidRPr="001433CA">
        <w:t>Kratkoročni primici i izdaci u glavnoj knjizi državnog proračuna evidentiraju se sukladno odredbama Zakona o proračunu po brut</w:t>
      </w:r>
      <w:r w:rsidR="001828BC" w:rsidRPr="001433CA">
        <w:t>o načelu odnosno u punom iznosu. Sukladno Uputi o primjeni modificiranog novčanog načela u postupku planiranja i izvršavanja državnog proračuna i financijskih planova izvanproračunskih korisnika državnog proračuna (KLASA: 401-01/15-01/131, URBROJ: 513-05-03-19-3) kratkoročni primici i izdaci planiraju se i iskazuju u neto iznos</w:t>
      </w:r>
      <w:r w:rsidR="001433CA" w:rsidRPr="001433CA">
        <w:t xml:space="preserve">u prema istovrsnim kategorijama. </w:t>
      </w:r>
      <w:r w:rsidR="001828BC" w:rsidRPr="001433CA">
        <w:t>U</w:t>
      </w:r>
      <w:r w:rsidRPr="001433CA">
        <w:t xml:space="preserve"> financijskom izvještaju državnog proračuna </w:t>
      </w:r>
      <w:r w:rsidR="001828BC" w:rsidRPr="001433CA">
        <w:t xml:space="preserve">kratkoročni primici i izdaci </w:t>
      </w:r>
      <w:r w:rsidRPr="001433CA">
        <w:t xml:space="preserve">iskazuju se u neto iznosu nakon što se iznosi kratkoročnih primitaka i izdataka </w:t>
      </w:r>
      <w:r w:rsidR="000A1386" w:rsidRPr="001433CA">
        <w:t xml:space="preserve">međusobno </w:t>
      </w:r>
      <w:r w:rsidRPr="001433CA">
        <w:t>sučele prema istovrsnim kategorijama.</w:t>
      </w:r>
    </w:p>
    <w:p w14:paraId="4E39066C" w14:textId="0A2032D0" w:rsidR="00BB7271" w:rsidRPr="00F934FA" w:rsidRDefault="00BB7271" w:rsidP="00BB7271">
      <w:pPr>
        <w:jc w:val="both"/>
        <w:rPr>
          <w:highlight w:val="green"/>
        </w:rPr>
      </w:pPr>
    </w:p>
    <w:p w14:paraId="7CB83F76" w14:textId="3DAF8887" w:rsidR="00BB7271" w:rsidRPr="00427BFD" w:rsidRDefault="00F4732E" w:rsidP="00BB7271">
      <w:pPr>
        <w:keepNext/>
        <w:jc w:val="center"/>
        <w:rPr>
          <w:sz w:val="28"/>
        </w:rPr>
      </w:pPr>
      <w:r w:rsidRPr="00427BFD">
        <w:rPr>
          <w:sz w:val="28"/>
        </w:rPr>
        <w:t xml:space="preserve">Bilješka </w:t>
      </w:r>
      <w:r w:rsidR="00E7442D">
        <w:rPr>
          <w:sz w:val="28"/>
        </w:rPr>
        <w:t>41</w:t>
      </w:r>
      <w:r w:rsidR="00BB7271" w:rsidRPr="00427BFD">
        <w:rPr>
          <w:sz w:val="28"/>
        </w:rPr>
        <w:t>.</w:t>
      </w:r>
    </w:p>
    <w:p w14:paraId="792EAC61" w14:textId="71A52B54" w:rsidR="001E3891" w:rsidRDefault="00027884" w:rsidP="00BB7271">
      <w:pPr>
        <w:keepNext/>
        <w:jc w:val="center"/>
        <w:rPr>
          <w:sz w:val="28"/>
          <w:highlight w:val="green"/>
        </w:rPr>
      </w:pPr>
      <w:r>
        <w:rPr>
          <w:sz w:val="28"/>
        </w:rPr>
        <w:t>Š</w:t>
      </w:r>
      <w:r w:rsidR="001E3891">
        <w:rPr>
          <w:sz w:val="28"/>
        </w:rPr>
        <w:t>ifra</w:t>
      </w:r>
      <w:r w:rsidR="001E3891" w:rsidRPr="001E3891">
        <w:rPr>
          <w:sz w:val="28"/>
        </w:rPr>
        <w:t xml:space="preserve"> 81</w:t>
      </w:r>
      <w:r w:rsidR="001E3891">
        <w:rPr>
          <w:sz w:val="28"/>
        </w:rPr>
        <w:t xml:space="preserve"> </w:t>
      </w:r>
      <w:r w:rsidR="001E3891" w:rsidRPr="001E3891">
        <w:rPr>
          <w:sz w:val="28"/>
        </w:rPr>
        <w:t>Primljeni povrati gla</w:t>
      </w:r>
      <w:r w:rsidR="001E3891">
        <w:rPr>
          <w:sz w:val="28"/>
        </w:rPr>
        <w:t>vnica danih zajmova i depozita</w:t>
      </w:r>
    </w:p>
    <w:p w14:paraId="06135A5B" w14:textId="692593EE" w:rsidR="00EC3A7F" w:rsidRPr="003D6EB3" w:rsidRDefault="001E3891" w:rsidP="001E3891">
      <w:pPr>
        <w:keepNext/>
      </w:pPr>
      <w:r w:rsidRPr="003D6EB3">
        <w:t xml:space="preserve">Primljeni povrati glavnica danih zajmova i depozita u 2022. godini iznosili su 1.102.810.215,22 kuna. </w:t>
      </w:r>
    </w:p>
    <w:p w14:paraId="689FCC81" w14:textId="28F6F0B5" w:rsidR="00EC3A7F" w:rsidRPr="003D6EB3" w:rsidRDefault="00EC3A7F" w:rsidP="001E3891">
      <w:pPr>
        <w:keepNext/>
      </w:pPr>
    </w:p>
    <w:p w14:paraId="327DDE1C" w14:textId="77777777" w:rsidR="00A67ED6" w:rsidRPr="003D6EB3" w:rsidRDefault="00EC3A7F" w:rsidP="00EC3A7F">
      <w:pPr>
        <w:keepNext/>
        <w:jc w:val="both"/>
      </w:pPr>
      <w:r w:rsidRPr="003D6EB3">
        <w:t xml:space="preserve">U okviru navedenog primitka ove godine najznačajniji iznos odnosi se na </w:t>
      </w:r>
      <w:r w:rsidR="004F38D5" w:rsidRPr="003D6EB3">
        <w:t>p</w:t>
      </w:r>
      <w:r w:rsidRPr="003D6EB3">
        <w:t>ovrat</w:t>
      </w:r>
      <w:r w:rsidR="004F38D5" w:rsidRPr="003D6EB3">
        <w:t>e</w:t>
      </w:r>
      <w:r w:rsidRPr="003D6EB3">
        <w:t xml:space="preserve"> zajmova danih drugim razinama vlasti (Šifra 817) u iznosu od 1.013.850.369,56 kuna. </w:t>
      </w:r>
    </w:p>
    <w:p w14:paraId="38BCDE2D" w14:textId="77777777" w:rsidR="00A67ED6" w:rsidRPr="003D6EB3" w:rsidRDefault="00A67ED6" w:rsidP="00EC3A7F">
      <w:pPr>
        <w:keepNext/>
        <w:jc w:val="both"/>
      </w:pPr>
    </w:p>
    <w:p w14:paraId="4F26F4C9" w14:textId="2AF39A91" w:rsidR="001E3891" w:rsidRPr="003D6EB3" w:rsidRDefault="00EC3A7F" w:rsidP="00EC3A7F">
      <w:pPr>
        <w:keepNext/>
        <w:jc w:val="both"/>
      </w:pPr>
      <w:r w:rsidRPr="003D6EB3">
        <w:t xml:space="preserve">Navedeni iznos </w:t>
      </w:r>
      <w:r w:rsidR="00027884" w:rsidRPr="003D6EB3">
        <w:t xml:space="preserve">jednim dijelom </w:t>
      </w:r>
      <w:r w:rsidRPr="003D6EB3">
        <w:t>odnosi se na povrate zajmova danih županijama, gradovima i općinama po osnovi odgode/obročne otplate poreza na dohodak i prireza porezu na dohodak, po osnovi povrata poreza na dohodak po godišnjoj prijavi za 2019. godinu te pada prihoda u razdoblju siječanj-rujan 2020. i siječanj-rujan 2021. u odnosu na isto razdoblje 2019. godine</w:t>
      </w:r>
      <w:r w:rsidR="000A1386" w:rsidRPr="003D6EB3">
        <w:t>, i to</w:t>
      </w:r>
      <w:r w:rsidRPr="003D6EB3">
        <w:t xml:space="preserve"> u sljedećim iznosima:</w:t>
      </w:r>
    </w:p>
    <w:p w14:paraId="63C8D943" w14:textId="219BF82A" w:rsidR="00EC3A7F" w:rsidRPr="003D6EB3" w:rsidRDefault="00027884" w:rsidP="000B5C25">
      <w:pPr>
        <w:pStyle w:val="Odlomakpopisa"/>
        <w:keepNext/>
        <w:numPr>
          <w:ilvl w:val="0"/>
          <w:numId w:val="22"/>
        </w:numPr>
        <w:jc w:val="both"/>
      </w:pPr>
      <w:r w:rsidRPr="003D6EB3">
        <w:rPr>
          <w:i/>
          <w:color w:val="000000"/>
        </w:rPr>
        <w:t>8172</w:t>
      </w:r>
      <w:r w:rsidR="00EC3A7F" w:rsidRPr="003D6EB3">
        <w:rPr>
          <w:i/>
          <w:color w:val="000000"/>
        </w:rPr>
        <w:t xml:space="preserve"> Povrat zajmova danih županijskim proračunima – dugoročni - </w:t>
      </w:r>
      <w:r w:rsidR="000B5C25" w:rsidRPr="003D6EB3">
        <w:rPr>
          <w:color w:val="000000"/>
        </w:rPr>
        <w:t xml:space="preserve">16.770.292,38 </w:t>
      </w:r>
      <w:r w:rsidR="00EC3A7F" w:rsidRPr="003D6EB3">
        <w:rPr>
          <w:color w:val="000000"/>
        </w:rPr>
        <w:t>k</w:t>
      </w:r>
      <w:r w:rsidR="000A1386" w:rsidRPr="003D6EB3">
        <w:rPr>
          <w:color w:val="000000"/>
        </w:rPr>
        <w:t>u</w:t>
      </w:r>
      <w:r w:rsidR="00EC3A7F" w:rsidRPr="003D6EB3">
        <w:rPr>
          <w:color w:val="000000"/>
        </w:rPr>
        <w:t>n</w:t>
      </w:r>
      <w:r w:rsidR="000A1386" w:rsidRPr="003D6EB3">
        <w:rPr>
          <w:color w:val="000000"/>
        </w:rPr>
        <w:t>a,</w:t>
      </w:r>
    </w:p>
    <w:p w14:paraId="510FC98D" w14:textId="357B70C1" w:rsidR="00EC3A7F" w:rsidRPr="003D6EB3" w:rsidRDefault="00027884" w:rsidP="00EC3A7F">
      <w:pPr>
        <w:pStyle w:val="Odlomakpopisa"/>
        <w:keepNext/>
        <w:numPr>
          <w:ilvl w:val="0"/>
          <w:numId w:val="22"/>
        </w:numPr>
      </w:pPr>
      <w:r w:rsidRPr="003D6EB3">
        <w:rPr>
          <w:i/>
          <w:color w:val="000000"/>
        </w:rPr>
        <w:t>8173</w:t>
      </w:r>
      <w:r w:rsidR="00EC3A7F" w:rsidRPr="003D6EB3">
        <w:rPr>
          <w:i/>
          <w:color w:val="000000"/>
        </w:rPr>
        <w:t xml:space="preserve"> Povrat zajmova danih gradskim proračunima – dugoročni</w:t>
      </w:r>
      <w:r w:rsidR="00EC3A7F" w:rsidRPr="003D6EB3">
        <w:rPr>
          <w:color w:val="000000"/>
        </w:rPr>
        <w:t xml:space="preserve"> - </w:t>
      </w:r>
      <w:r w:rsidR="000B5C25" w:rsidRPr="003D6EB3">
        <w:rPr>
          <w:color w:val="000000"/>
        </w:rPr>
        <w:t>372.100.158,64 k</w:t>
      </w:r>
      <w:r w:rsidR="000A1386" w:rsidRPr="003D6EB3">
        <w:rPr>
          <w:color w:val="000000"/>
        </w:rPr>
        <w:t>u</w:t>
      </w:r>
      <w:r w:rsidR="000B5C25" w:rsidRPr="003D6EB3">
        <w:rPr>
          <w:color w:val="000000"/>
        </w:rPr>
        <w:t>n</w:t>
      </w:r>
      <w:r w:rsidR="000A1386" w:rsidRPr="003D6EB3">
        <w:rPr>
          <w:color w:val="000000"/>
        </w:rPr>
        <w:t>a,</w:t>
      </w:r>
    </w:p>
    <w:p w14:paraId="5B654971" w14:textId="50465B27" w:rsidR="00EC3A7F" w:rsidRPr="003D6EB3" w:rsidRDefault="00027884" w:rsidP="00EC3A7F">
      <w:pPr>
        <w:pStyle w:val="Odlomakpopisa"/>
        <w:numPr>
          <w:ilvl w:val="0"/>
          <w:numId w:val="22"/>
        </w:numPr>
        <w:tabs>
          <w:tab w:val="decimal" w:pos="7380"/>
        </w:tabs>
        <w:jc w:val="both"/>
        <w:rPr>
          <w:bCs/>
          <w:color w:val="000000"/>
        </w:rPr>
      </w:pPr>
      <w:r w:rsidRPr="003D6EB3">
        <w:rPr>
          <w:bCs/>
          <w:i/>
          <w:color w:val="000000"/>
        </w:rPr>
        <w:t>8174</w:t>
      </w:r>
      <w:r w:rsidR="00EC3A7F" w:rsidRPr="003D6EB3">
        <w:rPr>
          <w:bCs/>
          <w:i/>
          <w:color w:val="000000"/>
        </w:rPr>
        <w:t xml:space="preserve"> Povrat zajmova danih općinskim proračunima – dugoročni</w:t>
      </w:r>
      <w:r w:rsidR="00EC3A7F" w:rsidRPr="003D6EB3">
        <w:rPr>
          <w:bCs/>
          <w:color w:val="000000"/>
        </w:rPr>
        <w:t xml:space="preserve">  -</w:t>
      </w:r>
      <w:r w:rsidR="00EC3A7F" w:rsidRPr="003D6EB3">
        <w:rPr>
          <w:color w:val="000000"/>
        </w:rPr>
        <w:t xml:space="preserve"> </w:t>
      </w:r>
      <w:r w:rsidR="000B5C25" w:rsidRPr="003D6EB3">
        <w:rPr>
          <w:color w:val="000000"/>
        </w:rPr>
        <w:t>31.854.369,07</w:t>
      </w:r>
      <w:r w:rsidR="00EC3A7F" w:rsidRPr="003D6EB3">
        <w:rPr>
          <w:color w:val="000000"/>
        </w:rPr>
        <w:t xml:space="preserve"> k</w:t>
      </w:r>
      <w:r w:rsidR="000A1386" w:rsidRPr="003D6EB3">
        <w:rPr>
          <w:color w:val="000000"/>
        </w:rPr>
        <w:t>u</w:t>
      </w:r>
      <w:r w:rsidR="00EC3A7F" w:rsidRPr="003D6EB3">
        <w:rPr>
          <w:color w:val="000000"/>
        </w:rPr>
        <w:t>n</w:t>
      </w:r>
      <w:r w:rsidR="000A1386" w:rsidRPr="003D6EB3">
        <w:rPr>
          <w:color w:val="000000"/>
        </w:rPr>
        <w:t>a.</w:t>
      </w:r>
      <w:r w:rsidR="00EC3A7F" w:rsidRPr="003D6EB3">
        <w:rPr>
          <w:color w:val="000000"/>
        </w:rPr>
        <w:t xml:space="preserve"> </w:t>
      </w:r>
    </w:p>
    <w:p w14:paraId="2C125942" w14:textId="77777777" w:rsidR="00EC3A7F" w:rsidRPr="003D6EB3" w:rsidRDefault="00EC3A7F" w:rsidP="00EC3A7F">
      <w:pPr>
        <w:tabs>
          <w:tab w:val="decimal" w:pos="7380"/>
        </w:tabs>
        <w:jc w:val="both"/>
        <w:rPr>
          <w:bCs/>
          <w:color w:val="000000"/>
        </w:rPr>
      </w:pPr>
    </w:p>
    <w:p w14:paraId="0EB7AEB9" w14:textId="7AF06B6E" w:rsidR="00EC3A7F" w:rsidRPr="003D6EB3" w:rsidRDefault="004F38D5" w:rsidP="00EC3A7F">
      <w:pPr>
        <w:tabs>
          <w:tab w:val="decimal" w:pos="7380"/>
        </w:tabs>
        <w:jc w:val="both"/>
        <w:rPr>
          <w:bCs/>
          <w:color w:val="000000"/>
        </w:rPr>
      </w:pPr>
      <w:r w:rsidRPr="003D6EB3">
        <w:rPr>
          <w:bCs/>
          <w:color w:val="000000"/>
        </w:rPr>
        <w:t xml:space="preserve">Osim povrata zajmova danih županijama, gradovima i općinama, </w:t>
      </w:r>
      <w:r w:rsidR="000A1386" w:rsidRPr="003D6EB3">
        <w:rPr>
          <w:bCs/>
          <w:color w:val="000000"/>
        </w:rPr>
        <w:t xml:space="preserve">u okviru ovog primitka </w:t>
      </w:r>
      <w:r w:rsidRPr="003D6EB3">
        <w:rPr>
          <w:bCs/>
          <w:color w:val="000000"/>
        </w:rPr>
        <w:t xml:space="preserve">evidentirani su i povrati zajmova </w:t>
      </w:r>
      <w:r w:rsidR="00EC3A7F" w:rsidRPr="003D6EB3">
        <w:rPr>
          <w:bCs/>
          <w:color w:val="000000"/>
        </w:rPr>
        <w:t xml:space="preserve">danih HZMO-u, HZZ-u i HZZO-u </w:t>
      </w:r>
      <w:r w:rsidRPr="003D6EB3">
        <w:rPr>
          <w:bCs/>
          <w:color w:val="000000"/>
        </w:rPr>
        <w:t xml:space="preserve">(šifra 8175) </w:t>
      </w:r>
      <w:r w:rsidR="00EC3A7F" w:rsidRPr="003D6EB3">
        <w:rPr>
          <w:bCs/>
          <w:color w:val="000000"/>
        </w:rPr>
        <w:t>u iznos</w:t>
      </w:r>
      <w:r w:rsidRPr="003D6EB3">
        <w:rPr>
          <w:bCs/>
          <w:color w:val="000000"/>
        </w:rPr>
        <w:t>u od 254.611.606,20 kn, a odnose</w:t>
      </w:r>
      <w:r w:rsidR="00EC3A7F" w:rsidRPr="003D6EB3">
        <w:rPr>
          <w:bCs/>
          <w:color w:val="000000"/>
        </w:rPr>
        <w:t xml:space="preserve"> se na povrat beskamatnog zajma isplaćenog tijekom 2020.</w:t>
      </w:r>
      <w:r w:rsidR="000A1386" w:rsidRPr="003D6EB3">
        <w:rPr>
          <w:bCs/>
          <w:color w:val="000000"/>
        </w:rPr>
        <w:t xml:space="preserve"> godine</w:t>
      </w:r>
      <w:r w:rsidR="00EC3A7F" w:rsidRPr="003D6EB3">
        <w:rPr>
          <w:bCs/>
          <w:color w:val="000000"/>
        </w:rPr>
        <w:t xml:space="preserve"> Hrvatskom zavodu za zdravstveno osiguranje temeljem Naputka o načinu isplate sredstava beskamatnog zajma jedinicama lokalne i područne (regionalne) samouprave, Hrvatskom zavodu za mirovinsko osiguranje i Hrvatskom zavodu za zdravstveno osiguranje (Narodne novine, br. 46/20, 5/21 i 73/21). </w:t>
      </w:r>
    </w:p>
    <w:p w14:paraId="43EAD955" w14:textId="217AB3FA" w:rsidR="00EC3A7F" w:rsidRPr="003D6EB3" w:rsidRDefault="00EC3A7F" w:rsidP="00EC3A7F">
      <w:pPr>
        <w:tabs>
          <w:tab w:val="decimal" w:pos="7380"/>
        </w:tabs>
        <w:jc w:val="both"/>
      </w:pPr>
    </w:p>
    <w:p w14:paraId="6E84A0E9" w14:textId="539B708F" w:rsidR="00027884" w:rsidRPr="003D6EB3" w:rsidRDefault="000B5C25" w:rsidP="004F38D5">
      <w:pPr>
        <w:tabs>
          <w:tab w:val="decimal" w:pos="7380"/>
        </w:tabs>
        <w:jc w:val="both"/>
      </w:pPr>
      <w:r w:rsidRPr="003D6EB3">
        <w:rPr>
          <w:bCs/>
          <w:color w:val="000000"/>
        </w:rPr>
        <w:t>D</w:t>
      </w:r>
      <w:r w:rsidR="004F38D5" w:rsidRPr="003D6EB3">
        <w:rPr>
          <w:bCs/>
          <w:color w:val="000000"/>
        </w:rPr>
        <w:t xml:space="preserve">odatno, </w:t>
      </w:r>
      <w:r w:rsidR="00027884" w:rsidRPr="003D6EB3">
        <w:rPr>
          <w:bCs/>
          <w:color w:val="000000"/>
        </w:rPr>
        <w:t xml:space="preserve">u okviru </w:t>
      </w:r>
      <w:r w:rsidR="004F38D5" w:rsidRPr="003D6EB3">
        <w:rPr>
          <w:bCs/>
          <w:color w:val="000000"/>
        </w:rPr>
        <w:t>ovih primitaka</w:t>
      </w:r>
      <w:r w:rsidR="00027884" w:rsidRPr="003D6EB3">
        <w:rPr>
          <w:bCs/>
          <w:color w:val="000000"/>
        </w:rPr>
        <w:t xml:space="preserve"> evidentirani su i povrati danih zajmova ostalim izvanproračunskim korisnicima državnog proračuna (šifra 8176) </w:t>
      </w:r>
      <w:r w:rsidRPr="003D6EB3">
        <w:rPr>
          <w:bCs/>
          <w:color w:val="000000"/>
        </w:rPr>
        <w:t xml:space="preserve">u iznosu od </w:t>
      </w:r>
      <w:r w:rsidR="004F38D5" w:rsidRPr="003D6EB3">
        <w:rPr>
          <w:bCs/>
          <w:color w:val="000000"/>
        </w:rPr>
        <w:t>252.428.408,28 kuna, od čega se najveći dio odnosi na zajmove dane</w:t>
      </w:r>
      <w:r w:rsidR="004F38D5" w:rsidRPr="003D6EB3">
        <w:t xml:space="preserve"> </w:t>
      </w:r>
      <w:r w:rsidR="00027884" w:rsidRPr="003D6EB3">
        <w:t>Hrvatskim autocestama d.o.o., Hrvatskim cestama d.o.o. te</w:t>
      </w:r>
      <w:r w:rsidR="004F38D5" w:rsidRPr="003D6EB3">
        <w:t xml:space="preserve"> Autocesti Rijeka – Zagreb d.d.</w:t>
      </w:r>
    </w:p>
    <w:p w14:paraId="0D39F252" w14:textId="75BB5237" w:rsidR="00A67ED6" w:rsidRPr="003D6EB3" w:rsidRDefault="00A67ED6" w:rsidP="004F38D5">
      <w:pPr>
        <w:tabs>
          <w:tab w:val="decimal" w:pos="7380"/>
        </w:tabs>
        <w:jc w:val="both"/>
      </w:pPr>
    </w:p>
    <w:p w14:paraId="274A06B9" w14:textId="63D6A7A3" w:rsidR="00A67ED6" w:rsidRPr="003D6EB3" w:rsidRDefault="00A67ED6" w:rsidP="000A1386">
      <w:pPr>
        <w:keepNext/>
        <w:jc w:val="both"/>
      </w:pPr>
      <w:r w:rsidRPr="003D6EB3">
        <w:t xml:space="preserve">U okviru primitka </w:t>
      </w:r>
      <w:r w:rsidR="000A1386" w:rsidRPr="003D6EB3">
        <w:t xml:space="preserve">razreda 8, </w:t>
      </w:r>
      <w:r w:rsidRPr="003D6EB3">
        <w:t>ove godine dio iznosa odnos</w:t>
      </w:r>
      <w:r w:rsidR="000A1386" w:rsidRPr="003D6EB3">
        <w:t>i se na p</w:t>
      </w:r>
      <w:r w:rsidRPr="003D6EB3">
        <w:t xml:space="preserve">ovrat zajmova danih tuzemnim trgovačkim društvima izvan javnog sektora (Šifra 8163) ostvarenih u iznosu od 29.554.211,73 kuna, odnosno za 75,7 % manje od ostvarenja 2021. godine. Smanjenje u odnosu na 2021. je značajno iz razloga što se u 2021. godini u okviru navedenog primitka evidentirao primitak od prodaje broda u </w:t>
      </w:r>
      <w:proofErr w:type="spellStart"/>
      <w:r w:rsidRPr="003D6EB3">
        <w:t>predstečajnom</w:t>
      </w:r>
      <w:proofErr w:type="spellEnd"/>
      <w:r w:rsidRPr="003D6EB3">
        <w:t xml:space="preserve"> postupku društva </w:t>
      </w:r>
      <w:proofErr w:type="spellStart"/>
      <w:r w:rsidRPr="003D6EB3">
        <w:t>Alpha</w:t>
      </w:r>
      <w:proofErr w:type="spellEnd"/>
      <w:r w:rsidRPr="003D6EB3">
        <w:t xml:space="preserve"> Adriatic d.d. (ranije Uljanik plovidba d.d.) u iznosu od 76.754.405,60 kuna.</w:t>
      </w:r>
    </w:p>
    <w:p w14:paraId="5DF0B608" w14:textId="77777777" w:rsidR="00A67ED6" w:rsidRPr="003D6EB3" w:rsidRDefault="00A67ED6" w:rsidP="00A67ED6">
      <w:pPr>
        <w:jc w:val="both"/>
      </w:pPr>
    </w:p>
    <w:p w14:paraId="76842E0A" w14:textId="089CFD69" w:rsidR="00A67ED6" w:rsidRPr="003D6EB3" w:rsidRDefault="00A67ED6" w:rsidP="00A67ED6">
      <w:pPr>
        <w:jc w:val="both"/>
      </w:pPr>
      <w:r w:rsidRPr="003D6EB3">
        <w:t>U okviru primitka</w:t>
      </w:r>
      <w:r w:rsidR="00363627" w:rsidRPr="003D6EB3">
        <w:t xml:space="preserve"> od </w:t>
      </w:r>
      <w:r w:rsidR="000A1386" w:rsidRPr="003D6EB3">
        <w:t>p</w:t>
      </w:r>
      <w:r w:rsidR="00363627" w:rsidRPr="003D6EB3">
        <w:t>ovrat zajmova danih tuzemnim trgovačkim društvima izvan javnog sektora (Šifra 8163)</w:t>
      </w:r>
      <w:r w:rsidRPr="003D6EB3">
        <w:t xml:space="preserve"> ove godine najznačajniji dio odnosi se na povrate zajmova </w:t>
      </w:r>
      <w:proofErr w:type="spellStart"/>
      <w:r w:rsidRPr="003D6EB3">
        <w:t>Alpha</w:t>
      </w:r>
      <w:proofErr w:type="spellEnd"/>
      <w:r w:rsidRPr="003D6EB3">
        <w:t xml:space="preserve"> Adriatic d.d. (ranije Uljanik plovidba d.d.) u iznosu od 7.893.586,93, MUNJA d.d. u iznosu od 5.220.000,00 i Jadrankamen d.d. u iznosu od 3.009.600,00 kuna. U slučaju MUNJA d.d. radi se o namirenju potraživanje prema dužniku MUNJA d.o.o. kroz stjecanje nekretnine procijenjene vrijednosti 5.220.000,00 što se sukladno Pravilniku o proračunskom računovodstvu i Računskom planu evidentira kao primitak od povrat zajmova danih tuzemnim trgovačkim društvima izvan javnog sektora i rashod za nabavu nefinancijske imovine. </w:t>
      </w:r>
    </w:p>
    <w:p w14:paraId="00A43206" w14:textId="08FAAE4D" w:rsidR="00027884" w:rsidRPr="003D6EB3" w:rsidRDefault="00027884" w:rsidP="000B5C25">
      <w:pPr>
        <w:keepNext/>
        <w:rPr>
          <w:sz w:val="28"/>
        </w:rPr>
      </w:pPr>
    </w:p>
    <w:p w14:paraId="5D3F91BC" w14:textId="62E6388E" w:rsidR="004F38D5" w:rsidRPr="003D6EB3" w:rsidRDefault="004F38D5" w:rsidP="004F38D5">
      <w:pPr>
        <w:keepNext/>
        <w:jc w:val="center"/>
        <w:rPr>
          <w:sz w:val="28"/>
        </w:rPr>
      </w:pPr>
      <w:r w:rsidRPr="003D6EB3">
        <w:rPr>
          <w:sz w:val="28"/>
        </w:rPr>
        <w:t xml:space="preserve">Bilješka </w:t>
      </w:r>
      <w:r w:rsidR="00E7442D">
        <w:rPr>
          <w:sz w:val="28"/>
        </w:rPr>
        <w:t>42</w:t>
      </w:r>
      <w:r w:rsidRPr="003D6EB3">
        <w:rPr>
          <w:sz w:val="28"/>
        </w:rPr>
        <w:t>.</w:t>
      </w:r>
    </w:p>
    <w:p w14:paraId="6AC6BE26" w14:textId="3A185DE1" w:rsidR="004F38D5" w:rsidRPr="003D6EB3" w:rsidRDefault="004F38D5" w:rsidP="004F38D5">
      <w:pPr>
        <w:keepNext/>
        <w:jc w:val="center"/>
        <w:rPr>
          <w:sz w:val="28"/>
        </w:rPr>
      </w:pPr>
      <w:r w:rsidRPr="003D6EB3">
        <w:rPr>
          <w:sz w:val="28"/>
        </w:rPr>
        <w:t>Šifra 82 Primici od izdanih vrijednosnih papira</w:t>
      </w:r>
      <w:r w:rsidR="00D46118" w:rsidRPr="003D6EB3">
        <w:rPr>
          <w:sz w:val="28"/>
        </w:rPr>
        <w:t xml:space="preserve"> </w:t>
      </w:r>
    </w:p>
    <w:p w14:paraId="34FCAE57" w14:textId="56CED104" w:rsidR="00B406EE" w:rsidRPr="003D6EB3" w:rsidRDefault="001F222E" w:rsidP="00B406EE">
      <w:pPr>
        <w:keepNext/>
        <w:jc w:val="both"/>
      </w:pPr>
      <w:r w:rsidRPr="003D6EB3">
        <w:t>Primici od izdanih vrijednosnih papira  u 2022. godini iznosili su 25.985.017.700,00</w:t>
      </w:r>
      <w:r w:rsidR="00B406EE" w:rsidRPr="003D6EB3">
        <w:t xml:space="preserve"> kuna. Primici od izdanih vrijednosnih papira obuhvaćaju dugoročne i kratkoročne primitke </w:t>
      </w:r>
      <w:r w:rsidR="00D46118" w:rsidRPr="003D6EB3">
        <w:t>od izdanih vrijednosnih papira (obveznice i trezorski zapisi)</w:t>
      </w:r>
      <w:r w:rsidR="00B406EE" w:rsidRPr="003D6EB3">
        <w:t>.</w:t>
      </w:r>
    </w:p>
    <w:p w14:paraId="44BF1474" w14:textId="77777777" w:rsidR="00B406EE" w:rsidRPr="003D6EB3" w:rsidRDefault="00B406EE" w:rsidP="00B406EE">
      <w:pPr>
        <w:keepNext/>
        <w:jc w:val="both"/>
        <w:rPr>
          <w:sz w:val="28"/>
        </w:rPr>
      </w:pPr>
    </w:p>
    <w:p w14:paraId="34629912" w14:textId="77777777" w:rsidR="00D46118" w:rsidRPr="003D6EB3" w:rsidRDefault="001F222E" w:rsidP="00B406EE">
      <w:pPr>
        <w:keepNext/>
        <w:jc w:val="both"/>
      </w:pPr>
      <w:r w:rsidRPr="003D6EB3">
        <w:t>U okviru navedenog primitka ove godine najznačajniji iznos odnosi se na primitke od izdanih obveznica u iznosu od 25.985.017.700,00 kuna</w:t>
      </w:r>
      <w:r w:rsidR="00F832C8" w:rsidRPr="003D6EB3">
        <w:t xml:space="preserve">. </w:t>
      </w:r>
    </w:p>
    <w:p w14:paraId="3824A20D" w14:textId="77777777" w:rsidR="00D46118" w:rsidRDefault="00D46118" w:rsidP="00B406EE">
      <w:pPr>
        <w:keepNext/>
        <w:jc w:val="both"/>
        <w:rPr>
          <w:highlight w:val="yellow"/>
        </w:rPr>
      </w:pPr>
    </w:p>
    <w:p w14:paraId="3EB13EE5" w14:textId="77777777" w:rsidR="00D46118" w:rsidRPr="00427BFD" w:rsidRDefault="00D46118" w:rsidP="00D46118">
      <w:pPr>
        <w:shd w:val="clear" w:color="auto" w:fill="FFFFFF"/>
        <w:jc w:val="both"/>
        <w:rPr>
          <w:color w:val="000000"/>
        </w:rPr>
      </w:pPr>
      <w:r w:rsidRPr="00427BFD">
        <w:rPr>
          <w:color w:val="000000"/>
        </w:rPr>
        <w:t>Ostvareni primici s osnove tuzemnih obveznica u 2022. godini su ostvareni u iznosu od 16,5 milijardi kuna, što predstavlja povećanje za  83,7 % u odnosu na 2021. godinu.</w:t>
      </w:r>
      <w:r w:rsidRPr="00427BFD">
        <w:t xml:space="preserve"> </w:t>
      </w:r>
      <w:r w:rsidRPr="00427BFD">
        <w:rPr>
          <w:color w:val="000000"/>
        </w:rPr>
        <w:t>Ostvareni primici s osnove inozemnih obveznica u 2022. godini su ostvareni u iznosu od 9,4 milijarde kuna što predstavlja smanjenje od 37,6 %.</w:t>
      </w:r>
    </w:p>
    <w:p w14:paraId="30C6B501" w14:textId="77777777" w:rsidR="00D46118" w:rsidRPr="00427BFD" w:rsidRDefault="00D46118" w:rsidP="00D46118">
      <w:pPr>
        <w:shd w:val="clear" w:color="auto" w:fill="FFFFFF"/>
        <w:jc w:val="both"/>
        <w:rPr>
          <w:color w:val="000000"/>
        </w:rPr>
      </w:pPr>
    </w:p>
    <w:p w14:paraId="521AAAB9" w14:textId="77777777" w:rsidR="00D46118" w:rsidRPr="00427BFD" w:rsidRDefault="00D46118" w:rsidP="00D46118">
      <w:pPr>
        <w:jc w:val="both"/>
      </w:pPr>
      <w:r w:rsidRPr="00427BFD">
        <w:t xml:space="preserve">Republika Hrvatska zastupana po Ministarstvu financija je 1. veljače 2022. godine donijela odluku o izdavanju obveznica uz plasman na domaćem tržištu kapitala u iznosu od 1 milijarde eura uz valutnu klauzulu. Obveznice su izdane po cijeni 98,943% nominalnog iznosa, uz nepromjenjivi kamatni kupon od 1,25% godišnje, što čini prinos do dospijeća od 1,39% godišnje. Kamatni kupon isplaćivat će se polugodišnje, a glavnica u cijelosti po dospijeću. Datum izdanja, odnosno uvrštenja obveznica u usluge </w:t>
      </w:r>
      <w:proofErr w:type="spellStart"/>
      <w:r w:rsidRPr="00427BFD">
        <w:t>depozitorija</w:t>
      </w:r>
      <w:proofErr w:type="spellEnd"/>
      <w:r w:rsidRPr="00427BFD">
        <w:t>, poravnanja i namire Središnjeg klirinškog depozitarnog društva d.d. je 4. veljače 2022., a dospijeće obveznica je 4. veljače 2030. Sredstva prikupljena ovim izdanjem upotrijebljena su primarno za otplatu obveznica u iznosu od 500 milijuna eura uz valutnu klauzulu, dospijeća 5. veljače 2022. i obveznica u nominalnom iznosu od 3 milijarde kuna dospijeća 7. veljače 2022. godine te za financiranje općih potreba državnog proračuna.</w:t>
      </w:r>
    </w:p>
    <w:p w14:paraId="6414605C" w14:textId="77777777" w:rsidR="00D46118" w:rsidRPr="00427BFD" w:rsidRDefault="00D46118" w:rsidP="00D46118">
      <w:pPr>
        <w:jc w:val="both"/>
      </w:pPr>
    </w:p>
    <w:p w14:paraId="7CC18B80" w14:textId="77777777" w:rsidR="00D46118" w:rsidRPr="00427BFD" w:rsidRDefault="00D46118" w:rsidP="00D46118">
      <w:pPr>
        <w:jc w:val="both"/>
      </w:pPr>
      <w:r w:rsidRPr="00427BFD">
        <w:t xml:space="preserve">U srpnju su uspješno realizirana izdanja dviju tranši obveznica na domaćem tržištu kapitala.  Obveznice u nominalnom iznosu od 400 milijuna eura uz valutnu klauzulu uplaćene su 15. srpnja </w:t>
      </w:r>
      <w:r w:rsidRPr="00427BFD">
        <w:lastRenderedPageBreak/>
        <w:t>2022., a dospijeće im je 15. srpnja 2026. godine. Izdane su po cijeni 99,828% nominalnog iznosa, uz nepromjenjivi kamatni kupon od 2,125% godišnje, što čini prinos do dospijeća 2,17% godišnje.</w:t>
      </w:r>
    </w:p>
    <w:p w14:paraId="2811A4CA" w14:textId="77777777" w:rsidR="00D46118" w:rsidRPr="00427BFD" w:rsidRDefault="00D46118" w:rsidP="00D46118">
      <w:pPr>
        <w:jc w:val="both"/>
      </w:pPr>
      <w:r w:rsidRPr="00427BFD">
        <w:t xml:space="preserve">Obveznice dospijeća 15. srpnja 2032. godine izdane su u nominalnom iznosu od 800 milijuna eura uz valutnu klauzulu. Obveznice su izdane po cijeni 99,203% nominalnog iznosa, kamatni kupon je nepromjenjiv i iznosi 3,375% godišnje, što čini prinos do dospijeća 3,47% godišnje. Datum izdavanja, odnosno uvrštenja obveznica u usluge </w:t>
      </w:r>
      <w:proofErr w:type="spellStart"/>
      <w:r w:rsidRPr="00427BFD">
        <w:t>depozitorija</w:t>
      </w:r>
      <w:proofErr w:type="spellEnd"/>
      <w:r w:rsidRPr="00427BFD">
        <w:t xml:space="preserve">, poravnanja i namire Središnjeg klirinškog depozitarnog društva d.d. također je 15. srpnja 2022. godine. </w:t>
      </w:r>
    </w:p>
    <w:p w14:paraId="47EB9374" w14:textId="77777777" w:rsidR="00D46118" w:rsidRPr="00427BFD" w:rsidRDefault="00D46118" w:rsidP="00D46118">
      <w:pPr>
        <w:jc w:val="both"/>
      </w:pPr>
    </w:p>
    <w:p w14:paraId="33849A37" w14:textId="77777777" w:rsidR="00D46118" w:rsidRPr="00427BFD" w:rsidRDefault="00D46118" w:rsidP="00D46118">
      <w:pPr>
        <w:jc w:val="both"/>
      </w:pPr>
      <w:r w:rsidRPr="00427BFD">
        <w:t>Sredstva prikupljena ovim izdanjima obveznica većim dijelom su se koristila za refinanciranje postojećeg izdanja obveznica, dospijeća 22. srpnja 2022. godine, u ukupnom nominalnom iznosu od 1 milijarde eura. Ove desetogodišnje obveznice su izdane u srpnju 2011. godine uz nepromjenjivi kamatni kupon od 6,5% godišnje, što implicira uštedu na kamatama u približnom iznosu od 36 milijuna eura, promatrano na godišnjoj razini u odnosu na iznos refinanciranja.</w:t>
      </w:r>
    </w:p>
    <w:p w14:paraId="011CF7FE" w14:textId="77777777" w:rsidR="00D46118" w:rsidRPr="00427BFD" w:rsidRDefault="00D46118" w:rsidP="00D46118">
      <w:pPr>
        <w:jc w:val="both"/>
      </w:pPr>
    </w:p>
    <w:p w14:paraId="4F626DBD" w14:textId="77777777" w:rsidR="00D46118" w:rsidRPr="00427BFD" w:rsidRDefault="00D46118" w:rsidP="00D46118">
      <w:pPr>
        <w:jc w:val="both"/>
      </w:pPr>
      <w:r w:rsidRPr="00427BFD">
        <w:t xml:space="preserve">Republika Hrvatska je u travnju uspješno realizirala izdanje </w:t>
      </w:r>
      <w:proofErr w:type="spellStart"/>
      <w:r w:rsidRPr="00427BFD">
        <w:t>euroobveznica</w:t>
      </w:r>
      <w:proofErr w:type="spellEnd"/>
      <w:r w:rsidRPr="00427BFD">
        <w:t xml:space="preserve"> na međunarodnom financijskom tržištu u iznosu 1,25 milijardi eura. Ove desetogodišnje obveznice su izdane po cijeni od 99,146% nominalnog iznosa uz nepromjenjivi kamatni kupon od 2,875% godišnje, što čini prinos do dospijeća od 2,975%. Kamatni kupon će se isplaćivati jednom godišnje, a glavnica će se u cijelosti isplatiti po dospijeću. Obveznice su uplaćene 22. travnja 2022., a dospijeće obveznica je 22. travnja 2032. godine.</w:t>
      </w:r>
    </w:p>
    <w:p w14:paraId="0E18DAC9" w14:textId="77777777" w:rsidR="00D46118" w:rsidRPr="00427BFD" w:rsidRDefault="00D46118" w:rsidP="00D46118">
      <w:pPr>
        <w:jc w:val="both"/>
      </w:pPr>
    </w:p>
    <w:p w14:paraId="6A8DF7E8" w14:textId="77777777" w:rsidR="00D46118" w:rsidRPr="00427BFD" w:rsidRDefault="00D46118" w:rsidP="00D46118">
      <w:pPr>
        <w:jc w:val="both"/>
      </w:pPr>
      <w:r w:rsidRPr="00427BFD">
        <w:t xml:space="preserve">Sredstva prikupljena ovim izdanjem iskorištena su za refinanciranje </w:t>
      </w:r>
      <w:proofErr w:type="spellStart"/>
      <w:r w:rsidRPr="00427BFD">
        <w:t>euroobveznica</w:t>
      </w:r>
      <w:proofErr w:type="spellEnd"/>
      <w:r w:rsidRPr="00427BFD">
        <w:t xml:space="preserve"> Republike Hrvatske nominalnog iznosa 1,25 milijardi eura, koje su nosile kamatu 3,875% i dospijeće im je bilo 30. svibnja 2022.</w:t>
      </w:r>
    </w:p>
    <w:p w14:paraId="24614126" w14:textId="77777777" w:rsidR="00D46118" w:rsidRPr="00427BFD" w:rsidRDefault="00D46118" w:rsidP="00B406EE">
      <w:pPr>
        <w:keepNext/>
        <w:jc w:val="both"/>
      </w:pPr>
    </w:p>
    <w:p w14:paraId="0F1820A3" w14:textId="6ABEBA35" w:rsidR="00D46118" w:rsidRDefault="00D46118" w:rsidP="00D46118">
      <w:pPr>
        <w:pStyle w:val="xmsonormal"/>
        <w:shd w:val="clear" w:color="auto" w:fill="FFFFFF"/>
        <w:spacing w:before="0" w:beforeAutospacing="0" w:after="0" w:afterAutospacing="0"/>
        <w:jc w:val="both"/>
        <w:rPr>
          <w:color w:val="000000"/>
        </w:rPr>
      </w:pPr>
      <w:r w:rsidRPr="00427BFD">
        <w:rPr>
          <w:color w:val="000000"/>
        </w:rPr>
        <w:t>Tijekom 2022. godine održano je 16 aukcija trezorskih zapisa na kojima je bilo ukupno 21 izdanja, od čega 18 kunskih izdanja, 2 izdanja trezorskih zapisa izraženih u eurima, a plativih u kunama te 1 izdanje FX trezorskih zapisa, izraženih i plativih u eurima. Kod kunskih izdanja trezorskih zapisa 2 izdanja su bila s rokom dospijeća od 91 dan, 4 izdanja s rokom dospijeća od 182 dana te 12 izdanja s rokom dospijeća od 364 dana.</w:t>
      </w:r>
      <w:r>
        <w:rPr>
          <w:color w:val="000000"/>
        </w:rPr>
        <w:t xml:space="preserve"> </w:t>
      </w:r>
    </w:p>
    <w:p w14:paraId="31FA797E" w14:textId="77777777" w:rsidR="00D46118" w:rsidRPr="00F92386" w:rsidRDefault="00D46118" w:rsidP="00D46118">
      <w:pPr>
        <w:pStyle w:val="xmsonormal"/>
        <w:shd w:val="clear" w:color="auto" w:fill="FFFFFF"/>
        <w:spacing w:before="0" w:beforeAutospacing="0" w:after="0" w:afterAutospacing="0"/>
        <w:jc w:val="both"/>
        <w:rPr>
          <w:color w:val="000000"/>
        </w:rPr>
      </w:pPr>
    </w:p>
    <w:p w14:paraId="40A4CAAF" w14:textId="5184E22B" w:rsidR="00B406EE" w:rsidRPr="003D6EB3" w:rsidRDefault="00F832C8" w:rsidP="00D46118">
      <w:pPr>
        <w:keepNext/>
        <w:jc w:val="both"/>
        <w:rPr>
          <w:sz w:val="28"/>
        </w:rPr>
      </w:pPr>
      <w:r w:rsidRPr="003D6EB3">
        <w:t>Za p</w:t>
      </w:r>
      <w:r w:rsidR="001F222E" w:rsidRPr="003D6EB3">
        <w:t>rimitke s osnove izdanih trezorskih zapisa nema iskazanog podatka</w:t>
      </w:r>
      <w:r w:rsidRPr="003D6EB3">
        <w:t xml:space="preserve"> u financijskom izvještaju državnog proračuna obzirom na to da se kratkoročni primici i izdaci iskazuju u neto iznosu nakon što se sučele prema istovrsnim kategorijama.</w:t>
      </w:r>
    </w:p>
    <w:p w14:paraId="135378CC" w14:textId="0229860E" w:rsidR="00E31808" w:rsidRPr="003D6EB3" w:rsidRDefault="00E31808" w:rsidP="00E31808">
      <w:pPr>
        <w:shd w:val="clear" w:color="auto" w:fill="FFFFFF"/>
        <w:jc w:val="both"/>
        <w:rPr>
          <w:color w:val="000000"/>
        </w:rPr>
      </w:pPr>
    </w:p>
    <w:p w14:paraId="48919224" w14:textId="1CF8B8AE" w:rsidR="00AE408E" w:rsidRPr="00DD0267" w:rsidRDefault="005E2FA3" w:rsidP="00CF385E">
      <w:pPr>
        <w:keepNext/>
        <w:jc w:val="center"/>
        <w:rPr>
          <w:sz w:val="28"/>
          <w:szCs w:val="28"/>
        </w:rPr>
      </w:pPr>
      <w:r w:rsidRPr="00DD0267">
        <w:rPr>
          <w:sz w:val="28"/>
          <w:szCs w:val="28"/>
        </w:rPr>
        <w:t xml:space="preserve">Bilješka </w:t>
      </w:r>
      <w:r w:rsidR="00E7442D">
        <w:rPr>
          <w:sz w:val="28"/>
          <w:szCs w:val="28"/>
        </w:rPr>
        <w:t>43</w:t>
      </w:r>
      <w:r w:rsidR="00AE408E" w:rsidRPr="00DD0267">
        <w:rPr>
          <w:sz w:val="28"/>
          <w:szCs w:val="28"/>
        </w:rPr>
        <w:t>.</w:t>
      </w:r>
    </w:p>
    <w:p w14:paraId="48C5AADA" w14:textId="32DB0382" w:rsidR="00D46118" w:rsidRPr="00DD0267" w:rsidRDefault="00204952" w:rsidP="00D46118">
      <w:pPr>
        <w:jc w:val="center"/>
        <w:rPr>
          <w:sz w:val="28"/>
          <w:szCs w:val="28"/>
        </w:rPr>
      </w:pPr>
      <w:r w:rsidRPr="00DD0267">
        <w:rPr>
          <w:sz w:val="28"/>
          <w:szCs w:val="28"/>
        </w:rPr>
        <w:t xml:space="preserve">Šifra </w:t>
      </w:r>
      <w:r w:rsidR="00D46118" w:rsidRPr="00DD0267">
        <w:rPr>
          <w:sz w:val="28"/>
          <w:szCs w:val="28"/>
        </w:rPr>
        <w:t>83 Primici od prodaje dionica i udjela u glavnici</w:t>
      </w:r>
      <w:r w:rsidR="00D46118" w:rsidRPr="00DD0267">
        <w:rPr>
          <w:rFonts w:ascii="Arial" w:hAnsi="Arial" w:cs="Arial"/>
          <w:color w:val="000000"/>
          <w:sz w:val="18"/>
          <w:szCs w:val="18"/>
        </w:rPr>
        <w:t xml:space="preserve"> </w:t>
      </w:r>
    </w:p>
    <w:p w14:paraId="64EEEF4E" w14:textId="0D61791F" w:rsidR="00D46118" w:rsidRPr="00DD0267" w:rsidRDefault="00D46118" w:rsidP="00D46118">
      <w:r w:rsidRPr="00DD0267">
        <w:t xml:space="preserve">Primici od prodaje dionica i udjela u glavnici u 2022. godini iznosili su 59.581.506,24 kuna. </w:t>
      </w:r>
    </w:p>
    <w:p w14:paraId="605046B9" w14:textId="77777777" w:rsidR="00D46118" w:rsidRPr="00DD0267" w:rsidRDefault="00D46118" w:rsidP="00D46118">
      <w:pPr>
        <w:rPr>
          <w:color w:val="000000"/>
        </w:rPr>
      </w:pPr>
    </w:p>
    <w:p w14:paraId="573F26ED" w14:textId="092D8F2B" w:rsidR="00D46118" w:rsidRPr="00DD0267" w:rsidRDefault="00D46118" w:rsidP="00204952">
      <w:pPr>
        <w:jc w:val="both"/>
        <w:rPr>
          <w:color w:val="000000"/>
        </w:rPr>
      </w:pPr>
      <w:r w:rsidRPr="00DD0267">
        <w:t>U okviru navedenog primitka ove godine najznačajniji iznos odnosi se na primitke o</w:t>
      </w:r>
      <w:r w:rsidR="00204952" w:rsidRPr="00DD0267">
        <w:rPr>
          <w:color w:val="000000"/>
        </w:rPr>
        <w:t xml:space="preserve">d prodaje dionica i udjela </w:t>
      </w:r>
      <w:r w:rsidR="009825EC" w:rsidRPr="00DD0267">
        <w:rPr>
          <w:color w:val="000000"/>
        </w:rPr>
        <w:t>izvan javnog sektora</w:t>
      </w:r>
      <w:r w:rsidR="00204952" w:rsidRPr="00DD0267">
        <w:rPr>
          <w:color w:val="000000"/>
        </w:rPr>
        <w:t xml:space="preserve"> u iznosu od </w:t>
      </w:r>
      <w:r w:rsidR="009825EC" w:rsidRPr="00DD0267">
        <w:rPr>
          <w:color w:val="000000"/>
        </w:rPr>
        <w:t xml:space="preserve">56.322.992,30 </w:t>
      </w:r>
      <w:r w:rsidR="00204952" w:rsidRPr="00DD0267">
        <w:rPr>
          <w:color w:val="000000"/>
        </w:rPr>
        <w:t xml:space="preserve">kuna koji se odnose na dionice u vlasništvu Republike Hrvatske i Hrvatskog zavoda za mirovinsko osiguranje kojima upravlja Centar za restrukturiranje i prodaju temeljem Zakona o upravljanju državnom imovinom, od čega se najznačajniji iznosi odnose na prodaju dionica društva Villa Dubrovnik d.d., Dubrovnik (21.117.534,24 kune), </w:t>
      </w:r>
      <w:proofErr w:type="spellStart"/>
      <w:r w:rsidR="00204952" w:rsidRPr="00DD0267">
        <w:rPr>
          <w:color w:val="000000"/>
        </w:rPr>
        <w:t>Excelsa</w:t>
      </w:r>
      <w:proofErr w:type="spellEnd"/>
      <w:r w:rsidR="00204952" w:rsidRPr="00DD0267">
        <w:rPr>
          <w:color w:val="000000"/>
        </w:rPr>
        <w:t xml:space="preserve"> nekretnine d.d., Dubrovnik (7.884.032,00 kuna) i Hrvatski telekom (6.324.328,50 kuna). </w:t>
      </w:r>
    </w:p>
    <w:p w14:paraId="64CAD493" w14:textId="77777777" w:rsidR="00D46118" w:rsidRPr="00DD0267" w:rsidRDefault="00D46118" w:rsidP="00204952">
      <w:pPr>
        <w:jc w:val="both"/>
        <w:rPr>
          <w:color w:val="000000"/>
        </w:rPr>
      </w:pPr>
    </w:p>
    <w:p w14:paraId="1BD250E0" w14:textId="4554E465" w:rsidR="00204952" w:rsidRPr="00DD0267" w:rsidRDefault="00204952" w:rsidP="00204952">
      <w:pPr>
        <w:jc w:val="both"/>
        <w:rPr>
          <w:color w:val="000000"/>
        </w:rPr>
      </w:pPr>
      <w:r w:rsidRPr="00DD0267">
        <w:rPr>
          <w:color w:val="000000"/>
        </w:rPr>
        <w:t xml:space="preserve">Također, na </w:t>
      </w:r>
      <w:r w:rsidR="00A97541" w:rsidRPr="00DD0267">
        <w:rPr>
          <w:color w:val="000000"/>
        </w:rPr>
        <w:t>istoj šifri</w:t>
      </w:r>
      <w:r w:rsidRPr="00DD0267">
        <w:rPr>
          <w:color w:val="000000"/>
        </w:rPr>
        <w:t xml:space="preserve"> su evidentirani primici od dionica i udjela društva Hrvatsko mirovinsko osiguranje d.o.o. ostvareni u iznosu od 11.484.216,41 kuna. </w:t>
      </w:r>
    </w:p>
    <w:p w14:paraId="428B3E7C" w14:textId="3F6D9606" w:rsidR="008D350F" w:rsidRPr="00DD0267" w:rsidRDefault="008D350F" w:rsidP="008D350F">
      <w:pPr>
        <w:tabs>
          <w:tab w:val="left" w:pos="180"/>
          <w:tab w:val="left" w:pos="540"/>
        </w:tabs>
        <w:jc w:val="both"/>
      </w:pPr>
    </w:p>
    <w:p w14:paraId="72E8E692" w14:textId="24FD2F47" w:rsidR="008D350F" w:rsidRPr="00DD0267" w:rsidRDefault="005E2FA3" w:rsidP="008D350F">
      <w:pPr>
        <w:jc w:val="center"/>
        <w:rPr>
          <w:sz w:val="28"/>
          <w:szCs w:val="28"/>
        </w:rPr>
      </w:pPr>
      <w:r w:rsidRPr="00DD0267">
        <w:rPr>
          <w:sz w:val="28"/>
          <w:szCs w:val="28"/>
        </w:rPr>
        <w:lastRenderedPageBreak/>
        <w:t>Bilješka</w:t>
      </w:r>
      <w:r w:rsidR="001274C0" w:rsidRPr="00DD0267">
        <w:rPr>
          <w:sz w:val="28"/>
          <w:szCs w:val="28"/>
        </w:rPr>
        <w:t xml:space="preserve"> </w:t>
      </w:r>
      <w:r w:rsidR="00E7442D">
        <w:rPr>
          <w:sz w:val="28"/>
          <w:szCs w:val="28"/>
        </w:rPr>
        <w:t>44</w:t>
      </w:r>
      <w:r w:rsidR="008D350F" w:rsidRPr="00DD0267">
        <w:rPr>
          <w:sz w:val="28"/>
          <w:szCs w:val="28"/>
        </w:rPr>
        <w:t xml:space="preserve">. </w:t>
      </w:r>
    </w:p>
    <w:p w14:paraId="4B774561" w14:textId="1DDBC696" w:rsidR="003A5121" w:rsidRPr="00DD0267" w:rsidRDefault="009825EC" w:rsidP="00E67E9E">
      <w:pPr>
        <w:jc w:val="center"/>
        <w:rPr>
          <w:sz w:val="28"/>
          <w:szCs w:val="28"/>
        </w:rPr>
      </w:pPr>
      <w:r w:rsidRPr="00DD0267">
        <w:rPr>
          <w:sz w:val="28"/>
          <w:szCs w:val="28"/>
        </w:rPr>
        <w:t>Šifra 84</w:t>
      </w:r>
      <w:r w:rsidR="003A5121" w:rsidRPr="00DD0267">
        <w:rPr>
          <w:sz w:val="28"/>
          <w:szCs w:val="28"/>
        </w:rPr>
        <w:t xml:space="preserve"> </w:t>
      </w:r>
      <w:r w:rsidR="008D350F" w:rsidRPr="00DD0267">
        <w:t xml:space="preserve"> </w:t>
      </w:r>
      <w:r w:rsidRPr="00DD0267">
        <w:rPr>
          <w:sz w:val="28"/>
          <w:szCs w:val="28"/>
        </w:rPr>
        <w:t xml:space="preserve">Primici od zaduživanja </w:t>
      </w:r>
    </w:p>
    <w:p w14:paraId="3D9B457B" w14:textId="4C92E889" w:rsidR="009825EC" w:rsidRPr="00DD0267" w:rsidRDefault="009825EC" w:rsidP="003A5121">
      <w:pPr>
        <w:tabs>
          <w:tab w:val="left" w:pos="180"/>
          <w:tab w:val="left" w:pos="540"/>
        </w:tabs>
        <w:spacing w:after="120"/>
        <w:jc w:val="both"/>
      </w:pPr>
      <w:r w:rsidRPr="00DD0267">
        <w:t>Primici od  zaduživanja u 2022. godini iznosili su 14.254.381.908,60</w:t>
      </w:r>
      <w:r w:rsidR="003D6EB3">
        <w:t xml:space="preserve"> kuna</w:t>
      </w:r>
      <w:r w:rsidRPr="00DD0267">
        <w:t>.</w:t>
      </w:r>
    </w:p>
    <w:p w14:paraId="3A0F577C" w14:textId="77777777" w:rsidR="009825EC" w:rsidRPr="00DD0267" w:rsidRDefault="009825EC" w:rsidP="009825EC">
      <w:pPr>
        <w:keepNext/>
        <w:jc w:val="both"/>
        <w:rPr>
          <w:sz w:val="28"/>
        </w:rPr>
      </w:pPr>
    </w:p>
    <w:p w14:paraId="79FACE7F" w14:textId="3B5D5212" w:rsidR="009825EC" w:rsidRPr="00DD0267" w:rsidRDefault="009825EC" w:rsidP="009825EC">
      <w:pPr>
        <w:tabs>
          <w:tab w:val="left" w:pos="180"/>
          <w:tab w:val="left" w:pos="540"/>
        </w:tabs>
        <w:spacing w:after="120"/>
        <w:jc w:val="both"/>
      </w:pPr>
      <w:r w:rsidRPr="00DD0267">
        <w:t>U okviru navedenog primitka ove godine najznačajniji iznos odnosi se na primljene kredite i zajmove od kreditnih i ostalih financijskih institucija izvan javnog sektora (Šifra 844).</w:t>
      </w:r>
    </w:p>
    <w:p w14:paraId="52117B7F" w14:textId="77777777" w:rsidR="009825EC" w:rsidRPr="00DD0267" w:rsidRDefault="009825EC" w:rsidP="009825EC">
      <w:pPr>
        <w:tabs>
          <w:tab w:val="left" w:pos="180"/>
          <w:tab w:val="left" w:pos="540"/>
        </w:tabs>
        <w:spacing w:after="120"/>
        <w:jc w:val="both"/>
      </w:pPr>
      <w:r w:rsidRPr="00DD0267">
        <w:t>U okviru primljenih kredita i zajmova od kreditnih institucija izvan javnog sektora evidentirani su dugoročni krediti u iznosu od 7,7 milijardi kuna u 2022., što je povećanje od 55,4 % u odnosu na prethodnu godinu.</w:t>
      </w:r>
    </w:p>
    <w:p w14:paraId="03BB9434" w14:textId="2F58BB8A" w:rsidR="009825EC" w:rsidRPr="00DD0267" w:rsidRDefault="009825EC" w:rsidP="009825EC">
      <w:pPr>
        <w:tabs>
          <w:tab w:val="left" w:pos="360"/>
        </w:tabs>
        <w:jc w:val="both"/>
      </w:pPr>
      <w:r w:rsidRPr="00DD0267">
        <w:t>Republika Hrvatska se u ožujku zadužila na domaćem financijskom tržištu u iznosu 360 milijuna eura (u kunskoj protuvrijednosti iznosa obračunatog po srednjem tečaju HNB-a na dan korištenja kredita). Kamata je promjenjiva i jednaka zbroju šestomjesečnog EURIBOR-a i marže u iznosu od 0,45% godišnje. Glavnica će se otplaćivati u 10 jednakih polugodišnjih rata, od kojih prva dospijeva 31. listopada 2022., a zadnja 60 mjeseci od prijenosa kredita u otplatu.</w:t>
      </w:r>
    </w:p>
    <w:p w14:paraId="4E3132EE" w14:textId="77777777" w:rsidR="009825EC" w:rsidRPr="00DD0267" w:rsidRDefault="009825EC" w:rsidP="009825EC">
      <w:pPr>
        <w:tabs>
          <w:tab w:val="left" w:pos="360"/>
        </w:tabs>
        <w:jc w:val="both"/>
      </w:pPr>
    </w:p>
    <w:p w14:paraId="507BBC76" w14:textId="77777777" w:rsidR="009825EC" w:rsidRPr="00DD0267" w:rsidRDefault="009825EC" w:rsidP="009825EC">
      <w:pPr>
        <w:tabs>
          <w:tab w:val="left" w:pos="360"/>
        </w:tabs>
        <w:jc w:val="both"/>
      </w:pPr>
      <w:r w:rsidRPr="00DD0267">
        <w:t xml:space="preserve">U istom mjesecu Republika Hrvatska se zadužila na domaćem financijskom tržištu u iznosu 200 milijuna eura (u kunskoj protuvrijednosti iznosa obračunatog po srednjem tečaju HNB-a na dan korištenja kredita). Kamata je promjenjiva, u visini šestomjesečnog EURIBOR-a uvećano za kamatnu maržu od 0,27% godišnje. Glavnica će se otplaćivati u 8 jednakih polugodišnjih rata, od kojih prva dospijeva 30. rujna 2022., a posljednja 31. ožujka 2026. </w:t>
      </w:r>
    </w:p>
    <w:p w14:paraId="35F9D934" w14:textId="77777777" w:rsidR="009825EC" w:rsidRPr="00DD0267" w:rsidRDefault="009825EC" w:rsidP="009825EC">
      <w:pPr>
        <w:tabs>
          <w:tab w:val="left" w:pos="360"/>
        </w:tabs>
        <w:jc w:val="both"/>
      </w:pPr>
    </w:p>
    <w:p w14:paraId="4D0E6DAA" w14:textId="77777777" w:rsidR="009825EC" w:rsidRPr="00DD0267" w:rsidRDefault="009825EC" w:rsidP="009825EC">
      <w:pPr>
        <w:tabs>
          <w:tab w:val="left" w:pos="360"/>
        </w:tabs>
        <w:jc w:val="both"/>
      </w:pPr>
      <w:r w:rsidRPr="00DD0267">
        <w:t xml:space="preserve">Također u ožujku Republika Hrvatska se zadužila na domaćem financijskom tržištu u iznosu 120 milijuna eura (u kunskoj protuvrijednosti iznosa obračunatog po srednjem tečaju HNB-a na dan korištenja kredita). Kamatna stopa je fiksna u iznosu 0,50% godišnje. Glavnica će se otplaćivati u  8 jednaki polugodišnjih rata od kojih prva dospijeva na naplatu u roku 6 mjeseci od dana korištenja kredita. </w:t>
      </w:r>
    </w:p>
    <w:p w14:paraId="3D92016D" w14:textId="77777777" w:rsidR="009825EC" w:rsidRPr="00DD0267" w:rsidRDefault="009825EC" w:rsidP="009825EC">
      <w:pPr>
        <w:tabs>
          <w:tab w:val="left" w:pos="360"/>
        </w:tabs>
        <w:jc w:val="both"/>
      </w:pPr>
    </w:p>
    <w:p w14:paraId="254D974E" w14:textId="0A45CC18" w:rsidR="009825EC" w:rsidRPr="00DD0267" w:rsidRDefault="009825EC" w:rsidP="009825EC">
      <w:pPr>
        <w:tabs>
          <w:tab w:val="left" w:pos="360"/>
        </w:tabs>
        <w:jc w:val="both"/>
      </w:pPr>
      <w:r w:rsidRPr="00DD0267">
        <w:t xml:space="preserve">U prosincu Republika Hrvatska se zadužila na domaćem financijskom tržištu u iznosu 150 milijuna eura  (u kunskoj protuvrijednosti iznosa obračunatog po srednjem tečaju HNB-a na dan korištenja kredita).  Kamata je promjenjiva i jednaka zbroju šestomjesečnog EURIBOR-a i marže u iznosu od 0,13% godišnje, uz polugodišnji obračun i plaćanje. Glavnica će se otplaćivati u 8 jednaki polugodišnjih rata od kojih prva dospijeva na naplatu u roku 6 mjeseci od dana korištenja kredita. </w:t>
      </w:r>
    </w:p>
    <w:p w14:paraId="2CB2439C" w14:textId="77777777" w:rsidR="009825EC" w:rsidRPr="00DD0267" w:rsidRDefault="009825EC" w:rsidP="009825EC">
      <w:pPr>
        <w:tabs>
          <w:tab w:val="left" w:pos="360"/>
        </w:tabs>
        <w:jc w:val="both"/>
      </w:pPr>
    </w:p>
    <w:p w14:paraId="4DD87AF5" w14:textId="77777777" w:rsidR="009825EC" w:rsidRPr="00DD0267" w:rsidRDefault="009825EC" w:rsidP="009825EC">
      <w:pPr>
        <w:tabs>
          <w:tab w:val="left" w:pos="360"/>
        </w:tabs>
        <w:jc w:val="both"/>
      </w:pPr>
      <w:r w:rsidRPr="00DD0267">
        <w:t xml:space="preserve">Također u prosincu Republika Hrvatska se zadužila na domaćem financijskom tržištu u iznosu 200 milijuna eura (u kunskoj protuvrijednosti iznosa obračunatog po srednjem tečaju HNB-a na dan korištenja kredita). Kamatna stopa je fiksna u iznosu 2,904% godišnje, uz polugodišnji obračun i plaćanje. Glavnica će se otplaćivati u jednakim polugodišnjim ratama od kojih prva dospijeva 30. lipnja 2023., a posljednja 31. prosinca 2027. </w:t>
      </w:r>
    </w:p>
    <w:p w14:paraId="04F1E731" w14:textId="77777777" w:rsidR="009825EC" w:rsidRPr="00DD0267" w:rsidRDefault="009825EC" w:rsidP="009825EC">
      <w:pPr>
        <w:rPr>
          <w:sz w:val="28"/>
          <w:szCs w:val="28"/>
        </w:rPr>
      </w:pPr>
    </w:p>
    <w:p w14:paraId="6CDC28D2" w14:textId="62CF5164" w:rsidR="00B838F4" w:rsidRPr="00DD0267" w:rsidRDefault="00A21CC2" w:rsidP="003A5121">
      <w:pPr>
        <w:tabs>
          <w:tab w:val="left" w:pos="180"/>
          <w:tab w:val="left" w:pos="540"/>
        </w:tabs>
        <w:spacing w:after="120"/>
        <w:jc w:val="both"/>
      </w:pPr>
      <w:r w:rsidRPr="00DD0267">
        <w:t>Osim primljenih kredita i zajmova od kreditnih institucija izvan javnog sektora u okviru ovog primitka evidentirani</w:t>
      </w:r>
      <w:r w:rsidR="00B838F4" w:rsidRPr="00DD0267">
        <w:t xml:space="preserve"> su i:</w:t>
      </w:r>
    </w:p>
    <w:p w14:paraId="65532F44" w14:textId="69DCBC8F" w:rsidR="00B838F4" w:rsidRPr="00DD0267" w:rsidRDefault="00A21CC2" w:rsidP="00B838F4">
      <w:pPr>
        <w:pStyle w:val="Odlomakpopisa"/>
        <w:numPr>
          <w:ilvl w:val="0"/>
          <w:numId w:val="24"/>
        </w:numPr>
        <w:tabs>
          <w:tab w:val="left" w:pos="180"/>
          <w:tab w:val="left" w:pos="540"/>
        </w:tabs>
        <w:spacing w:after="120"/>
        <w:jc w:val="both"/>
        <w:rPr>
          <w:i/>
        </w:rPr>
      </w:pPr>
      <w:r w:rsidRPr="00DD0267">
        <w:rPr>
          <w:i/>
        </w:rPr>
        <w:t>p</w:t>
      </w:r>
      <w:r w:rsidR="008D350F" w:rsidRPr="00DD0267">
        <w:rPr>
          <w:i/>
        </w:rPr>
        <w:t xml:space="preserve">rimljeni </w:t>
      </w:r>
      <w:r w:rsidRPr="00DD0267">
        <w:rPr>
          <w:i/>
        </w:rPr>
        <w:t xml:space="preserve">krediti i </w:t>
      </w:r>
      <w:r w:rsidR="008D350F" w:rsidRPr="00DD0267">
        <w:rPr>
          <w:i/>
        </w:rPr>
        <w:t xml:space="preserve">zajmovi od </w:t>
      </w:r>
      <w:r w:rsidR="008A0F2F" w:rsidRPr="00DD0267">
        <w:rPr>
          <w:i/>
        </w:rPr>
        <w:t>međunarodnih organizacija</w:t>
      </w:r>
      <w:r w:rsidRPr="00DD0267">
        <w:rPr>
          <w:i/>
        </w:rPr>
        <w:t xml:space="preserve">, institucija i tijela EU te inozemnih vlada (šifre </w:t>
      </w:r>
      <w:r w:rsidR="00B838F4" w:rsidRPr="00DD0267">
        <w:rPr>
          <w:i/>
        </w:rPr>
        <w:t>841</w:t>
      </w:r>
      <w:r w:rsidRPr="00DD0267">
        <w:rPr>
          <w:i/>
        </w:rPr>
        <w:t>) u iznosu od 6.331.588.559,40</w:t>
      </w:r>
      <w:r w:rsidR="00B838F4" w:rsidRPr="00DD0267">
        <w:rPr>
          <w:i/>
        </w:rPr>
        <w:t xml:space="preserve"> kuna </w:t>
      </w:r>
    </w:p>
    <w:p w14:paraId="25661ADD" w14:textId="46813175" w:rsidR="00B838F4" w:rsidRPr="00DD0267" w:rsidRDefault="00B838F4" w:rsidP="00B838F4">
      <w:pPr>
        <w:tabs>
          <w:tab w:val="left" w:pos="180"/>
          <w:tab w:val="left" w:pos="540"/>
        </w:tabs>
        <w:spacing w:after="120"/>
        <w:jc w:val="both"/>
      </w:pPr>
      <w:r w:rsidRPr="00DD0267">
        <w:t xml:space="preserve">Od ukupno ostvarenih 470,6 milijuna kuna u okviru primitaka od primljenih kredita i zajmova od međunarodnih organizacija (Šifra 8413) najznačajniji primitak u ovoj godini odnosi se na zajam IBRD zajam br. 90570 (Projekt učinkovitog pravosuđa za bolje poslovno okruženje) u iznosu od </w:t>
      </w:r>
      <w:proofErr w:type="spellStart"/>
      <w:r w:rsidRPr="00DD0267">
        <w:t>od</w:t>
      </w:r>
      <w:proofErr w:type="spellEnd"/>
      <w:r w:rsidRPr="00DD0267">
        <w:t xml:space="preserve"> 92.950.959,40 kuna. Ovim projektom financira se Projekt učinkovitog pravosuđa za bolje poslovno okruženje čija je svrha podrška Republici Hrvatskoj u daljnjem osnaživanju gospodarske </w:t>
      </w:r>
      <w:r w:rsidRPr="00DD0267">
        <w:lastRenderedPageBreak/>
        <w:t xml:space="preserve">klime i unaprjeđenju poslovnog okruženja s fokusom na podršku pravosudnom sektoru sa stajališta učinkovitosti, transparentnosti i troška. Primitak od 377.740.500,00 (27.4.2022) odnosi se na zajma Razvojne banke Vijeća Europe (CEB) LD 2056(2020) za podršku mjerama u Republici Hrvatskoj povezanih s </w:t>
      </w:r>
      <w:proofErr w:type="spellStart"/>
      <w:r w:rsidRPr="00DD0267">
        <w:t>pandemijom</w:t>
      </w:r>
      <w:proofErr w:type="spellEnd"/>
      <w:r w:rsidRPr="00DD0267">
        <w:t xml:space="preserve"> bolesti COVID-19 – instrument financiranja javnog sektora.</w:t>
      </w:r>
    </w:p>
    <w:p w14:paraId="592144CF" w14:textId="77777777" w:rsidR="00B838F4" w:rsidRPr="00DD0267" w:rsidRDefault="00B838F4" w:rsidP="00B838F4">
      <w:pPr>
        <w:tabs>
          <w:tab w:val="left" w:pos="180"/>
          <w:tab w:val="left" w:pos="540"/>
        </w:tabs>
        <w:spacing w:after="120"/>
        <w:jc w:val="both"/>
      </w:pPr>
    </w:p>
    <w:p w14:paraId="01E3FB7E" w14:textId="77777777" w:rsidR="00D1391C" w:rsidRPr="00DD0267" w:rsidRDefault="00B838F4" w:rsidP="00B838F4">
      <w:pPr>
        <w:tabs>
          <w:tab w:val="left" w:pos="180"/>
          <w:tab w:val="left" w:pos="540"/>
        </w:tabs>
        <w:spacing w:after="120"/>
        <w:jc w:val="both"/>
      </w:pPr>
      <w:r w:rsidRPr="00DD0267">
        <w:t>Primljeni krediti i zajmovi od institucija i tijela EU (Šifra 8414) u 2022. godini su ostvareni u iznosu 5,8 milijardi kuna. Iznos od 125.000.000,00 kuna ostvaren u 2022. godini odnosi se na sredstva za provedbu financijskog instrumenta sukladno Nacionalnom planu za oporavak i otpornost usvojenog od strane Vlade RH i odobrenog od strane Europske komisije temeljem Provedbene Odluke Vijeća Europske unije o odobrenju ocjene plana za oporavak i otpornost Hrvatske od 20. srpnja 2021. (</w:t>
      </w:r>
      <w:proofErr w:type="spellStart"/>
      <w:r w:rsidRPr="00DD0267">
        <w:t>Međuinstitucijski</w:t>
      </w:r>
      <w:proofErr w:type="spellEnd"/>
      <w:r w:rsidRPr="00DD0267">
        <w:t xml:space="preserve"> predmet: 2021/0222 (NLE). Hrvatska banka za obnovu i razvitak utvrđena je kao provedbeno tijelo zaduženo za implementaciju ove mjere. </w:t>
      </w:r>
    </w:p>
    <w:p w14:paraId="23FF5DAF" w14:textId="5FC26C3A" w:rsidR="00D1391C" w:rsidRPr="00DD0267" w:rsidRDefault="00B838F4" w:rsidP="00B838F4">
      <w:pPr>
        <w:tabs>
          <w:tab w:val="left" w:pos="180"/>
          <w:tab w:val="left" w:pos="540"/>
        </w:tabs>
        <w:spacing w:after="120"/>
        <w:jc w:val="both"/>
      </w:pPr>
      <w:r w:rsidRPr="00DD0267">
        <w:t xml:space="preserve">Iznos od 4.152.852.000,00 </w:t>
      </w:r>
      <w:r w:rsidR="009616D5" w:rsidRPr="00DD0267">
        <w:t xml:space="preserve">kuna </w:t>
      </w:r>
      <w:r w:rsidRPr="00DD0267">
        <w:t xml:space="preserve">odnosi se na zajam Europske komisije u okviru instrumenta SURE – privremenog instrumenta Europske Unije namijenjenog smanjenju rizika od nezaposlenosti tijekom krize uzrokovane bolešću COVID-19 za financiranje subvencija za očuvanje radnih mjesta u sektorima pogođenim bolešću COVID-19 i pomoći za skraćivanje radnog vremena. </w:t>
      </w:r>
    </w:p>
    <w:p w14:paraId="487ED662" w14:textId="7E3224DC" w:rsidR="00B838F4" w:rsidRPr="00DD0267" w:rsidRDefault="00B838F4" w:rsidP="00B838F4">
      <w:pPr>
        <w:tabs>
          <w:tab w:val="left" w:pos="180"/>
          <w:tab w:val="left" w:pos="540"/>
        </w:tabs>
        <w:spacing w:after="120"/>
        <w:jc w:val="both"/>
      </w:pPr>
      <w:r w:rsidRPr="00DD0267">
        <w:t>Iznos od 1.583.045.100,</w:t>
      </w:r>
      <w:r w:rsidR="003D6EB3">
        <w:t>00 kuna</w:t>
      </w:r>
      <w:r w:rsidRPr="00DD0267">
        <w:t xml:space="preserve"> odnosi se na zajma Europske investicijske banke (EIB) </w:t>
      </w:r>
      <w:proofErr w:type="spellStart"/>
      <w:r w:rsidRPr="00DD0267">
        <w:t>FINo</w:t>
      </w:r>
      <w:proofErr w:type="spellEnd"/>
      <w:r w:rsidRPr="00DD0267">
        <w:t xml:space="preserve"> 89.118 za Projekt nacionalnog sufinanciranja EU fondova u razdoblju od 2014. - 2020. godine. </w:t>
      </w:r>
    </w:p>
    <w:p w14:paraId="52E4A63C" w14:textId="626036AD" w:rsidR="003A5121" w:rsidRPr="00DD0267" w:rsidRDefault="00A21CC2" w:rsidP="003A5121">
      <w:pPr>
        <w:pStyle w:val="Odlomakpopisa"/>
        <w:numPr>
          <w:ilvl w:val="0"/>
          <w:numId w:val="24"/>
        </w:numPr>
        <w:tabs>
          <w:tab w:val="left" w:pos="180"/>
          <w:tab w:val="left" w:pos="540"/>
        </w:tabs>
        <w:spacing w:after="120"/>
        <w:jc w:val="both"/>
        <w:rPr>
          <w:i/>
        </w:rPr>
      </w:pPr>
      <w:r w:rsidRPr="00DD0267">
        <w:rPr>
          <w:i/>
        </w:rPr>
        <w:t>primljeni krediti i zajmovi od kreditnih i ostalih financijskih ins</w:t>
      </w:r>
      <w:r w:rsidR="00B838F4" w:rsidRPr="00DD0267">
        <w:rPr>
          <w:i/>
        </w:rPr>
        <w:t>titucija u javnom sektoru (šifra</w:t>
      </w:r>
      <w:r w:rsidRPr="00DD0267">
        <w:rPr>
          <w:i/>
        </w:rPr>
        <w:t xml:space="preserve"> </w:t>
      </w:r>
      <w:r w:rsidR="00B838F4" w:rsidRPr="00DD0267">
        <w:rPr>
          <w:i/>
        </w:rPr>
        <w:t>842</w:t>
      </w:r>
      <w:r w:rsidRPr="00DD0267">
        <w:rPr>
          <w:i/>
        </w:rPr>
        <w:t>) u iznosu od 151.726.079,</w:t>
      </w:r>
      <w:r w:rsidR="00B838F4" w:rsidRPr="00DD0267">
        <w:rPr>
          <w:i/>
        </w:rPr>
        <w:t xml:space="preserve"> </w:t>
      </w:r>
      <w:r w:rsidRPr="00DD0267">
        <w:rPr>
          <w:i/>
        </w:rPr>
        <w:t>20</w:t>
      </w:r>
      <w:r w:rsidR="00B838F4" w:rsidRPr="00DD0267">
        <w:rPr>
          <w:i/>
        </w:rPr>
        <w:t xml:space="preserve"> kuna</w:t>
      </w:r>
      <w:r w:rsidRPr="00DD0267">
        <w:rPr>
          <w:i/>
        </w:rPr>
        <w:t xml:space="preserve">.  </w:t>
      </w:r>
    </w:p>
    <w:p w14:paraId="6D3FFB45" w14:textId="25E639A1" w:rsidR="004D2635" w:rsidRPr="00DD0267" w:rsidRDefault="004D2635" w:rsidP="00887C83">
      <w:pPr>
        <w:jc w:val="both"/>
      </w:pPr>
      <w:r w:rsidRPr="00DD0267">
        <w:t>Primici od kredita od kreditnih institucija u javnom sektoru</w:t>
      </w:r>
      <w:r w:rsidR="00887C83" w:rsidRPr="00DD0267">
        <w:t xml:space="preserve"> (šifra 8422)</w:t>
      </w:r>
      <w:r w:rsidRPr="00DD0267">
        <w:t xml:space="preserve"> u 2022. godine ostvareni su </w:t>
      </w:r>
      <w:r w:rsidR="00887C83" w:rsidRPr="00DD0267">
        <w:t xml:space="preserve">u iznosu od 144.665.552,33 kuna od čega se najznačajniji iznos od </w:t>
      </w:r>
      <w:r w:rsidRPr="00DD0267">
        <w:t xml:space="preserve"> </w:t>
      </w:r>
      <w:r w:rsidR="00887C83" w:rsidRPr="00DD0267">
        <w:t>136.000.000,00 kuna odnosi na klasificirane podatke sukladno Zakonu o tajnosti podataka kojim se uređuje pojam klasificiranih i neklasificiranih podataka.</w:t>
      </w:r>
    </w:p>
    <w:p w14:paraId="0C3D96D4" w14:textId="77777777" w:rsidR="00887C83" w:rsidRPr="00DD0267" w:rsidRDefault="00887C83" w:rsidP="00887C83">
      <w:pPr>
        <w:jc w:val="both"/>
      </w:pPr>
    </w:p>
    <w:p w14:paraId="553011A1" w14:textId="77777777" w:rsidR="009773EB" w:rsidRPr="00DD0267" w:rsidRDefault="00887C83" w:rsidP="005E2FA3">
      <w:pPr>
        <w:pStyle w:val="xdefault"/>
        <w:shd w:val="clear" w:color="auto" w:fill="FFFFFF"/>
        <w:spacing w:before="0" w:beforeAutospacing="0"/>
        <w:jc w:val="both"/>
      </w:pPr>
      <w:r w:rsidRPr="00DD0267">
        <w:t xml:space="preserve">Dodatno u okviru </w:t>
      </w:r>
      <w:r w:rsidR="008D350F" w:rsidRPr="00DD0267">
        <w:t>primitaka od zajmova od ostalih financijskih institucija u</w:t>
      </w:r>
      <w:r w:rsidR="005C0064" w:rsidRPr="00DD0267">
        <w:t xml:space="preserve"> javnom sektoru</w:t>
      </w:r>
      <w:r w:rsidRPr="00DD0267">
        <w:t xml:space="preserve"> (Šifra 8424) </w:t>
      </w:r>
      <w:r w:rsidR="005C0064" w:rsidRPr="00DD0267">
        <w:t xml:space="preserve">u </w:t>
      </w:r>
      <w:r w:rsidRPr="00DD0267">
        <w:t>2022</w:t>
      </w:r>
      <w:r w:rsidR="005C0064" w:rsidRPr="00DD0267">
        <w:t xml:space="preserve">. </w:t>
      </w:r>
      <w:r w:rsidRPr="00DD0267">
        <w:t xml:space="preserve">godini </w:t>
      </w:r>
      <w:r w:rsidR="005C0064" w:rsidRPr="00DD0267">
        <w:t xml:space="preserve">ostvareno </w:t>
      </w:r>
      <w:r w:rsidRPr="00DD0267">
        <w:t xml:space="preserve">je </w:t>
      </w:r>
      <w:r w:rsidR="005C0064" w:rsidRPr="00DD0267">
        <w:t>7.060.526,87</w:t>
      </w:r>
      <w:r w:rsidR="008D350F" w:rsidRPr="00DD0267">
        <w:t xml:space="preserve"> kuna. </w:t>
      </w:r>
      <w:r w:rsidRPr="00DD0267">
        <w:t xml:space="preserve">Uplate sredstva od nepovezanih uplata doprinosa za obvezna mirovinska osiguranja s privremenog računa na račun državnog proračuna evidentiraju se na računu 842410100 Primljeni zajmovi od ostalih financijskih institucija u javnom sektoru – HAGENA, a isplate s računa državnog proračuna na privremeni računa evidentiraju se na računu 542410001 Otplata glavnice primljenih zajmova u javnom sektoru – REGOS. U financijskom izvještaju iskazuje se neto efekt. </w:t>
      </w:r>
    </w:p>
    <w:p w14:paraId="05797EBC" w14:textId="18000E44" w:rsidR="008D350F" w:rsidRPr="00DD0267" w:rsidRDefault="008D350F" w:rsidP="005E2FA3">
      <w:pPr>
        <w:pStyle w:val="xdefault"/>
        <w:shd w:val="clear" w:color="auto" w:fill="FFFFFF"/>
        <w:spacing w:before="0" w:beforeAutospacing="0"/>
        <w:jc w:val="both"/>
      </w:pPr>
      <w:r w:rsidRPr="00DD0267">
        <w:t xml:space="preserve">Sukladno odredbama Pravilnika o postupanju Središnjeg registra osiguranika i mirovinskih društava prema članovima obveznih mirovinskih fondova (Narodne novine br. 60/14 i 135/15, 86/18, 56/19 i 91/19), članak 10. stavak 2. i članak 11. stavak 1., Središnji registar osiguranika (REGOS) prosljeđuje sredstva nepovezanih uplata doprinosa za obvezna mirovinska osiguranja odnosno sredstva ostvarena od uplata osiguranika koji nisu odabrali mirovinski fond na privremeni račun. Upravljanje privremenim računom, kao i visina, način obračuna, rok isplate kamata te nadzor nad privremenim računom regulirani su Sporazumom o upravljanju privremenim računom kojeg su zaključili Ministarstvo financija, Hrvatska agencija za nadzor financijskih usluga i Središnji registar osiguranika (REGOS). Sredstva od nepovezanih uplata doprinosa za obvezna mirovinska osiguranja usmjeravaju se s prolaznog računa na privremeni račun i odmah istog dana na račun državnog proračuna. Također, svakog prvog radnog dana u tjednu za prethodni tjedan REGOS, nakon povezivanja nepovezanih uplata, dostavlja podatke Ministarstvu financija o ukupnom iznosu sredstava koja se usmjeravaju s privremenog na prolazni račun. </w:t>
      </w:r>
    </w:p>
    <w:p w14:paraId="36FF27F3" w14:textId="3272D4F5" w:rsidR="008D350F" w:rsidRPr="00DD0267" w:rsidRDefault="005C0064" w:rsidP="008D350F">
      <w:pPr>
        <w:jc w:val="center"/>
        <w:rPr>
          <w:sz w:val="28"/>
          <w:szCs w:val="28"/>
        </w:rPr>
      </w:pPr>
      <w:r w:rsidRPr="00DD0267">
        <w:rPr>
          <w:sz w:val="28"/>
          <w:szCs w:val="28"/>
        </w:rPr>
        <w:t xml:space="preserve">Bilješka </w:t>
      </w:r>
      <w:r w:rsidR="00E7442D">
        <w:rPr>
          <w:sz w:val="28"/>
          <w:szCs w:val="28"/>
        </w:rPr>
        <w:t>45</w:t>
      </w:r>
      <w:r w:rsidR="00C772EF" w:rsidRPr="00DD0267">
        <w:rPr>
          <w:sz w:val="28"/>
          <w:szCs w:val="28"/>
        </w:rPr>
        <w:t>.</w:t>
      </w:r>
    </w:p>
    <w:p w14:paraId="6F7C5563" w14:textId="77777777" w:rsidR="009A5FFC" w:rsidRPr="00DD0267" w:rsidRDefault="009A5FFC" w:rsidP="008D350F">
      <w:pPr>
        <w:jc w:val="center"/>
        <w:rPr>
          <w:sz w:val="28"/>
          <w:szCs w:val="28"/>
        </w:rPr>
      </w:pPr>
      <w:r w:rsidRPr="00DD0267">
        <w:rPr>
          <w:sz w:val="28"/>
          <w:szCs w:val="28"/>
        </w:rPr>
        <w:lastRenderedPageBreak/>
        <w:t xml:space="preserve">Šifra 5 </w:t>
      </w:r>
      <w:r w:rsidR="00D1391C" w:rsidRPr="00DD0267">
        <w:rPr>
          <w:sz w:val="28"/>
          <w:szCs w:val="28"/>
        </w:rPr>
        <w:t xml:space="preserve">Izdaci za financijsku imovinu i otplate zajmova </w:t>
      </w:r>
    </w:p>
    <w:p w14:paraId="4855747A" w14:textId="12BD8597" w:rsidR="00D1391C" w:rsidRPr="00DD0267" w:rsidRDefault="009A5FFC" w:rsidP="009A5FFC">
      <w:r w:rsidRPr="00DD0267">
        <w:t xml:space="preserve">Izdaci za financijsku imovinu i otplate zajmova u 2022. godini izvršeni su u ukupnom iznosu od </w:t>
      </w:r>
      <w:r w:rsidR="00D1391C" w:rsidRPr="00DD0267">
        <w:t>46.689.842.377,92</w:t>
      </w:r>
      <w:r w:rsidR="003D6EB3">
        <w:t xml:space="preserve"> kuna i veći su u odnosu na 2021. godinu za 109,7%.</w:t>
      </w:r>
    </w:p>
    <w:p w14:paraId="247CD2AB" w14:textId="049D5BF9" w:rsidR="00510263" w:rsidRPr="00DD0267" w:rsidRDefault="00510263" w:rsidP="009A5FFC"/>
    <w:p w14:paraId="78C874AF" w14:textId="77777777" w:rsidR="001433CA" w:rsidRPr="003D6EB3" w:rsidRDefault="001433CA" w:rsidP="001433CA">
      <w:pPr>
        <w:jc w:val="both"/>
      </w:pPr>
      <w:r w:rsidRPr="001433CA">
        <w:t>Kratkoročni primici i izdaci u glavnoj knjizi državnog proračuna evidentiraju se sukladno odredbama Zakona o proračunu po bruto načelu odnosno u punom iznosu. Sukladno Uputi o primjeni modificiranog novčanog načela u postupku planiranja i izvršavanja državnog proračuna i financijskih planova izvanproračunskih korisnika državnog proračuna (KLASA: 401-01/15-01/131, URBROJ: 513-05-03-19-3) kratkoročni primici i izdaci planiraju se i iskazuju u neto iznosu prema istovrsnim kategorijama. U financijskom izvještaju državnog proračuna kratkoročni primici i izdaci iskazuju se u neto iznosu nakon što se iznosi kratkoročnih primitaka i izdataka međusobno sučele prema istovrsnim kategorijama.</w:t>
      </w:r>
    </w:p>
    <w:p w14:paraId="26615596" w14:textId="33472ECE" w:rsidR="009A5FFC" w:rsidRPr="00DD0267" w:rsidRDefault="009A5FFC" w:rsidP="009A5FFC"/>
    <w:p w14:paraId="7EA26EDD" w14:textId="55BA9114" w:rsidR="002A5BB2" w:rsidRPr="00DD0267" w:rsidRDefault="009A5FFC" w:rsidP="002A5BB2">
      <w:pPr>
        <w:jc w:val="both"/>
      </w:pPr>
      <w:r w:rsidRPr="00DD0267">
        <w:t xml:space="preserve">U okviru navedenog </w:t>
      </w:r>
      <w:r w:rsidR="00097F52" w:rsidRPr="00DD0267">
        <w:t>izdatka</w:t>
      </w:r>
      <w:r w:rsidRPr="00DD0267">
        <w:t xml:space="preserve"> ove godine najznačajniji iznos odnosi se na izdatke za otplatu glavnice za izdane vrijednosne papire</w:t>
      </w:r>
      <w:r w:rsidR="004D63CE">
        <w:t xml:space="preserve"> (šifra 55)</w:t>
      </w:r>
      <w:r w:rsidRPr="00DD0267">
        <w:t xml:space="preserve"> u iznosu od 27.332.585.727,76 kuna</w:t>
      </w:r>
      <w:r w:rsidR="002A5BB2" w:rsidRPr="00DD0267">
        <w:t xml:space="preserve"> i to za:</w:t>
      </w:r>
    </w:p>
    <w:p w14:paraId="11AADD41" w14:textId="77777777" w:rsidR="003171D1" w:rsidRPr="00DD0267" w:rsidRDefault="003171D1" w:rsidP="002A5BB2">
      <w:pPr>
        <w:jc w:val="both"/>
      </w:pPr>
    </w:p>
    <w:p w14:paraId="664A2FF9" w14:textId="5328CCCC" w:rsidR="009A5FFC" w:rsidRPr="00DD0267" w:rsidRDefault="002A5BB2" w:rsidP="009A5FFC">
      <w:pPr>
        <w:pStyle w:val="Odlomakpopisa"/>
        <w:numPr>
          <w:ilvl w:val="0"/>
          <w:numId w:val="25"/>
        </w:numPr>
        <w:jc w:val="both"/>
        <w:rPr>
          <w:i/>
        </w:rPr>
      </w:pPr>
      <w:r w:rsidRPr="00DD0267">
        <w:rPr>
          <w:i/>
        </w:rPr>
        <w:t>izdatke za otplatu glavnice za izdane obveznice (Šifra 552)</w:t>
      </w:r>
    </w:p>
    <w:p w14:paraId="5F458E2A" w14:textId="77777777" w:rsidR="003171D1" w:rsidRPr="004D63CE" w:rsidRDefault="003171D1" w:rsidP="004D63CE">
      <w:pPr>
        <w:jc w:val="both"/>
        <w:rPr>
          <w:i/>
        </w:rPr>
      </w:pPr>
    </w:p>
    <w:p w14:paraId="75B4FCA9" w14:textId="6A29B963" w:rsidR="009A5FFC" w:rsidRPr="00DD0267" w:rsidRDefault="0059161B" w:rsidP="002A5BB2">
      <w:pPr>
        <w:jc w:val="both"/>
      </w:pPr>
      <w:r w:rsidRPr="00DD0267">
        <w:t>Na ime izdataka za otplatu glavnice za izdane obveznice u 2022. izvršeno je 23.669.301.800,00 kuna. Od navedenog iznosa</w:t>
      </w:r>
      <w:r w:rsidR="009A5FFC" w:rsidRPr="00DD0267">
        <w:t xml:space="preserve"> 500 milijuna eura domaćih obveznica su dospjele i iskupljene 5. veljače 2022. godine. Ova trogodišnja obveznica izdana je u veljači 2019. godine uz nepromjenjivi kamatni kupon 0,50% polugodišnje.</w:t>
      </w:r>
      <w:r w:rsidR="002A5BB2" w:rsidRPr="00DD0267">
        <w:t xml:space="preserve"> </w:t>
      </w:r>
      <w:r w:rsidR="009A5FFC" w:rsidRPr="00DD0267">
        <w:t>Također, 7. veljače 2022. godine dospjela je i iskupljena petogodišnja obveznica od 3 milijarde kuna, koja je izdana u veljači 2017. godine uz nepromjenjivi kamatni kupon 2,25% polugodišnje.</w:t>
      </w:r>
      <w:r w:rsidR="003171D1" w:rsidRPr="00DD0267">
        <w:t xml:space="preserve"> </w:t>
      </w:r>
      <w:r w:rsidR="009A5FFC" w:rsidRPr="00DD0267">
        <w:t>Dospjela je i iskupljena i jedanaestogodišnja obveznica 22. srpnja 2022. godine u iznosu od 1 milijarde eura, koja je izdana</w:t>
      </w:r>
      <w:r w:rsidR="004D63CE">
        <w:t xml:space="preserve"> u</w:t>
      </w:r>
      <w:r w:rsidR="009A5FFC" w:rsidRPr="00DD0267">
        <w:t xml:space="preserve"> srpnju 2011. godine uz nepromjenjivi kamatni kupon 6,5% polugodišnje.</w:t>
      </w:r>
      <w:r w:rsidR="002A5BB2" w:rsidRPr="00DD0267">
        <w:t xml:space="preserve"> </w:t>
      </w:r>
      <w:r w:rsidR="009A5FFC" w:rsidRPr="00DD0267">
        <w:t>U 2022. godini dospjela je i iskupljena i jedna međunarodna obveznica u iznosu od 1,25 milijardi eura 30. svibnja 2022. godine, koja je izdana u svibnju 2014. godine uz nepromjenjivi kamatni kupon 3,875% godišnje.</w:t>
      </w:r>
    </w:p>
    <w:p w14:paraId="7730CCA9" w14:textId="77777777" w:rsidR="002A5BB2" w:rsidRPr="00DD0267" w:rsidRDefault="002A5BB2" w:rsidP="002A5BB2">
      <w:pPr>
        <w:jc w:val="both"/>
      </w:pPr>
    </w:p>
    <w:p w14:paraId="5B07CB78" w14:textId="042ADC59" w:rsidR="002A5BB2" w:rsidRPr="00DD0267" w:rsidRDefault="002A5BB2" w:rsidP="003171D1">
      <w:pPr>
        <w:pStyle w:val="Odlomakpopisa"/>
        <w:numPr>
          <w:ilvl w:val="0"/>
          <w:numId w:val="25"/>
        </w:numPr>
        <w:jc w:val="both"/>
        <w:rPr>
          <w:i/>
        </w:rPr>
      </w:pPr>
      <w:r w:rsidRPr="00DD0267">
        <w:rPr>
          <w:i/>
        </w:rPr>
        <w:t>izdatke za otplatu glavnice za izdane trezorske zapise  (Šifra 551)</w:t>
      </w:r>
    </w:p>
    <w:p w14:paraId="7B53F967" w14:textId="77777777" w:rsidR="003171D1" w:rsidRPr="00DD0267" w:rsidRDefault="003171D1" w:rsidP="00673AC5">
      <w:pPr>
        <w:jc w:val="both"/>
        <w:rPr>
          <w:i/>
        </w:rPr>
      </w:pPr>
    </w:p>
    <w:p w14:paraId="0654E292" w14:textId="520EB5E8" w:rsidR="009A5FFC" w:rsidRPr="00DD0267" w:rsidRDefault="00BB24BF" w:rsidP="002A5BB2">
      <w:pPr>
        <w:jc w:val="both"/>
      </w:pPr>
      <w:r w:rsidRPr="00DD0267">
        <w:t>Za izdatke s osnove trezorskih zapisa u financijskom izvještaju državnog proračuna iskazan je iznos od 3.663.283.927,76 kuna obzirom na to da se kratkoročni primici i izdaci iskazuju u neto iznosu nakon što se sučele prema istovrsnim kategorijama.</w:t>
      </w:r>
      <w:r>
        <w:t xml:space="preserve"> </w:t>
      </w:r>
      <w:r w:rsidR="009A5FFC" w:rsidRPr="00DD0267">
        <w:t xml:space="preserve">Tijekom 2022. godine održano je 16 aukcija trezorskih zapisa na kojima je bilo ukupno 21 izdanja, od čega 18 kunskih izdanja, 2 izdanja trezorskih zapisa izraženih u eurima, a plativih u kunama te 1 izdanje FX trezorskih zapisa, izraženih i plativih u eurima. Kod kunskih izdanja trezorskih zapisa 2 izdanja su bila s rokom dospijeća od 91 dan, 4 izdanja s rokom dospijeća od 182 dana te 12 izdanja s rokom dospijeća od 364 dana. </w:t>
      </w:r>
    </w:p>
    <w:p w14:paraId="55699743" w14:textId="451007AD" w:rsidR="00B13421" w:rsidRPr="00DD0267" w:rsidRDefault="00B13421" w:rsidP="00B13421">
      <w:pPr>
        <w:tabs>
          <w:tab w:val="decimal" w:pos="7380"/>
        </w:tabs>
        <w:jc w:val="both"/>
        <w:rPr>
          <w:color w:val="000000"/>
        </w:rPr>
      </w:pPr>
    </w:p>
    <w:p w14:paraId="567D51E2" w14:textId="33DECDE4" w:rsidR="00AA1D76" w:rsidRPr="00DD0267" w:rsidRDefault="00BB24BF" w:rsidP="003240B1">
      <w:pPr>
        <w:keepNext/>
        <w:jc w:val="both"/>
      </w:pPr>
      <w:r>
        <w:t xml:space="preserve">Nadalje, </w:t>
      </w:r>
      <w:r w:rsidR="00075348">
        <w:t>u okviru izdataka u razredu 5 drugi najveći iznos odnosi se na izdatke</w:t>
      </w:r>
      <w:r w:rsidR="00B13421" w:rsidRPr="00DD0267">
        <w:t xml:space="preserve"> za depozite u kreditnim i ostalim institucijama – tuzemni  </w:t>
      </w:r>
      <w:r>
        <w:t>(šifra 518)</w:t>
      </w:r>
      <w:r w:rsidR="00075348">
        <w:t>. U</w:t>
      </w:r>
      <w:r>
        <w:t xml:space="preserve"> 2022. godini </w:t>
      </w:r>
      <w:r w:rsidR="00075348">
        <w:t xml:space="preserve">na navedenim izdacima </w:t>
      </w:r>
      <w:r w:rsidR="00B13421" w:rsidRPr="00DD0267">
        <w:t>iskazan</w:t>
      </w:r>
      <w:r w:rsidR="00075348">
        <w:t xml:space="preserve"> je iznos od 10.</w:t>
      </w:r>
      <w:r w:rsidR="004A1862">
        <w:t>553.468.000</w:t>
      </w:r>
      <w:r w:rsidR="00075348">
        <w:t>,00 kuna</w:t>
      </w:r>
      <w:r w:rsidR="00B13421" w:rsidRPr="00DD0267">
        <w:t xml:space="preserve"> što se odnosi na kratkoročno oročeni depozit kod Hrvatske narodne banke. </w:t>
      </w:r>
      <w:r w:rsidR="00B25156" w:rsidRPr="00DD0267">
        <w:t>Naime, krajem prosinca 2022.</w:t>
      </w:r>
      <w:r>
        <w:t xml:space="preserve"> </w:t>
      </w:r>
      <w:r w:rsidR="00B25156" w:rsidRPr="00DD0267">
        <w:t>godine</w:t>
      </w:r>
      <w:r>
        <w:t xml:space="preserve"> (23. i 29. prosinca)</w:t>
      </w:r>
      <w:r w:rsidR="00B25156" w:rsidRPr="00DD0267">
        <w:t xml:space="preserve"> oročeno je </w:t>
      </w:r>
      <w:r>
        <w:t xml:space="preserve">ukupno 1.400.000.000,00 </w:t>
      </w:r>
      <w:r w:rsidR="00B25156" w:rsidRPr="00DD0267">
        <w:t>eura ostvarenih, u najvećem iznosu, iz sredstava Europske unije, odnosno fonda Mehanizma za oporavak i otpornost u iznosu od 700.000.000,00 eura te instrumenta SURE (Europski instrument za privremenu potporu radi smanjenja rizika od nezaposlenosti u izvanrednoj situaciji) u iznosu od 548.212.500,00 eura.</w:t>
      </w:r>
      <w:r>
        <w:t xml:space="preserve"> Sredstva su oročena do 5. siječnja 2023. godine.</w:t>
      </w:r>
      <w:r w:rsidR="00075348">
        <w:t xml:space="preserve"> </w:t>
      </w:r>
      <w:r w:rsidR="00B13421" w:rsidRPr="00DD0267">
        <w:t xml:space="preserve">Sukladno članku 32. stavku 4. Pravilnika o proračunskom računovodstvu i Računskom planu kratkoročni depoziti evidentiraju se zaduženjem odgovarajućeg računa skupine 12 i odobrenjem računa novčanih sredstava, a dugoročni depoziti i kratkoročni depoziti koji se </w:t>
      </w:r>
      <w:r w:rsidR="00B13421" w:rsidRPr="00DD0267">
        <w:lastRenderedPageBreak/>
        <w:t xml:space="preserve">vraćaju u sljedećoj godini evidentiraju se i preko odgovarajućih računa </w:t>
      </w:r>
      <w:r w:rsidR="00B13421" w:rsidRPr="001433CA">
        <w:t>razreda 5</w:t>
      </w:r>
      <w:r w:rsidRPr="001433CA">
        <w:t xml:space="preserve"> Izdaci za financijsku imovinu i otplate zajmova</w:t>
      </w:r>
      <w:r w:rsidR="00B13421" w:rsidRPr="001433CA">
        <w:t xml:space="preserve"> i 8</w:t>
      </w:r>
      <w:r w:rsidRPr="001433CA">
        <w:t xml:space="preserve"> Primici od financijske imovine i zaduživanja</w:t>
      </w:r>
      <w:r w:rsidR="00B13421" w:rsidRPr="001433CA">
        <w:t>.</w:t>
      </w:r>
      <w:r w:rsidRPr="001433CA">
        <w:t xml:space="preserve"> Navedena odredba razlog je zašto je u Izvještaju o prihodima i rashodima, primicima i izdacima (izvještaj PR-RAS) iskazan izdatak za depozite u kreditnim i ostalim institucijama.</w:t>
      </w:r>
    </w:p>
    <w:p w14:paraId="127BDAD5" w14:textId="4C643364" w:rsidR="00C479B7" w:rsidRDefault="007572FD" w:rsidP="00C479B7">
      <w:pPr>
        <w:pStyle w:val="StandardWeb"/>
        <w:shd w:val="clear" w:color="auto" w:fill="FFFFFF"/>
        <w:spacing w:after="0" w:afterAutospacing="0"/>
        <w:jc w:val="both"/>
      </w:pPr>
      <w:r>
        <w:t>U okviru izdataka za otplatu glavnice primljenih kredita od kreditnih institucija u javnom sektoru (šifra 5422) u 2022. godini evidentirano je 201.283.465, 19 kuna.</w:t>
      </w:r>
      <w:r w:rsidR="00C479B7">
        <w:t xml:space="preserve"> Navedeni iznos odnosi se na:</w:t>
      </w:r>
    </w:p>
    <w:p w14:paraId="243BA11E" w14:textId="77777777" w:rsidR="008D78CD" w:rsidRDefault="004319CB" w:rsidP="008D78CD">
      <w:pPr>
        <w:pStyle w:val="Odlomakpopisa"/>
        <w:keepNext/>
        <w:numPr>
          <w:ilvl w:val="0"/>
          <w:numId w:val="32"/>
        </w:numPr>
        <w:jc w:val="both"/>
      </w:pPr>
      <w:r>
        <w:t>120 milijuna kuna za otplatu glavnice kredita kod Hrvatske poštanske banke temeljem</w:t>
      </w:r>
      <w:r w:rsidRPr="004319CB">
        <w:t xml:space="preserve"> Ugovor</w:t>
      </w:r>
      <w:r>
        <w:t>a o kreditu za likvidnost,</w:t>
      </w:r>
      <w:r w:rsidR="008D78CD" w:rsidRPr="008D78CD">
        <w:t xml:space="preserve"> </w:t>
      </w:r>
    </w:p>
    <w:p w14:paraId="2DC46BCE" w14:textId="6A4D69A3" w:rsidR="008D78CD" w:rsidRDefault="008D78CD" w:rsidP="008D78CD">
      <w:pPr>
        <w:pStyle w:val="Odlomakpopisa"/>
        <w:keepNext/>
        <w:numPr>
          <w:ilvl w:val="0"/>
          <w:numId w:val="32"/>
        </w:numPr>
        <w:jc w:val="both"/>
      </w:pPr>
      <w:r>
        <w:t>51 milijun kuna na ime izdataka temeljem preuzetnog duga društva HŽ Putnički prijevoz,</w:t>
      </w:r>
    </w:p>
    <w:p w14:paraId="4793B467" w14:textId="02F1A298" w:rsidR="00AA1D76" w:rsidRDefault="00E9563F" w:rsidP="00C479B7">
      <w:pPr>
        <w:pStyle w:val="StandardWeb"/>
        <w:numPr>
          <w:ilvl w:val="0"/>
          <w:numId w:val="32"/>
        </w:numPr>
        <w:shd w:val="clear" w:color="auto" w:fill="FFFFFF"/>
        <w:jc w:val="both"/>
      </w:pPr>
      <w:r>
        <w:t>17 milijuna kuna</w:t>
      </w:r>
      <w:r w:rsidR="00AA1D76" w:rsidRPr="00DD0267">
        <w:t xml:space="preserve"> </w:t>
      </w:r>
      <w:r>
        <w:t xml:space="preserve">na ime </w:t>
      </w:r>
      <w:r w:rsidR="00AA1D76" w:rsidRPr="00DD0267">
        <w:t xml:space="preserve">izdataka za otplatu glavnice primljenih kredita od kreditnih institucija u javnom sektoru </w:t>
      </w:r>
      <w:r w:rsidR="00BB24BF">
        <w:t xml:space="preserve">(šifra 5422) </w:t>
      </w:r>
      <w:r w:rsidR="00AA1D76" w:rsidRPr="00DD0267">
        <w:t>odnosi se na klasificirane podatke sukladno Zakonu o tajnosti podataka kojim se uređuje pojam klasificira</w:t>
      </w:r>
      <w:r w:rsidR="00C479B7">
        <w:t xml:space="preserve">nih i neklasificiranih podataka, </w:t>
      </w:r>
    </w:p>
    <w:p w14:paraId="1E67CC3E" w14:textId="107F22CC" w:rsidR="00C479B7" w:rsidRDefault="00C479B7" w:rsidP="00C479B7">
      <w:pPr>
        <w:pStyle w:val="Odlomakpopisa"/>
        <w:keepNext/>
        <w:numPr>
          <w:ilvl w:val="0"/>
          <w:numId w:val="32"/>
        </w:numPr>
        <w:jc w:val="both"/>
      </w:pPr>
      <w:r>
        <w:t xml:space="preserve">6.249.999,99 kuna na ime izdataka po preuzetim obvezama temeljem </w:t>
      </w:r>
      <w:r w:rsidRPr="00C479B7">
        <w:t xml:space="preserve">nagodbe između Republike Hrvatske i društva HŽ </w:t>
      </w:r>
      <w:proofErr w:type="spellStart"/>
      <w:r w:rsidRPr="00C479B7">
        <w:t>Cargo</w:t>
      </w:r>
      <w:proofErr w:type="spellEnd"/>
      <w:r w:rsidRPr="00C479B7">
        <w:t xml:space="preserve"> d.o.o</w:t>
      </w:r>
      <w:r w:rsidR="004319CB">
        <w:t>.</w:t>
      </w:r>
      <w:r w:rsidRPr="00C479B7">
        <w:t xml:space="preserve"> u svrhu restrukturiranja</w:t>
      </w:r>
      <w:r>
        <w:t xml:space="preserve">. Detaljno obrazloženje poslovnog događaja navedeno je u bilješki 17. u Bilanci, </w:t>
      </w:r>
    </w:p>
    <w:p w14:paraId="1EAA91C7" w14:textId="33F3A9B7" w:rsidR="001433CA" w:rsidRDefault="00C479B7" w:rsidP="00FB0B9D">
      <w:pPr>
        <w:pStyle w:val="Odlomakpopisa"/>
        <w:keepNext/>
        <w:numPr>
          <w:ilvl w:val="0"/>
          <w:numId w:val="32"/>
        </w:numPr>
        <w:jc w:val="both"/>
      </w:pPr>
      <w:r>
        <w:t xml:space="preserve">7 milijuna kuna na ime izdataka prema </w:t>
      </w:r>
      <w:r w:rsidR="006037EE">
        <w:t>HBOR-u, a za korisnika kredita Hrvatske vode,</w:t>
      </w:r>
      <w:r>
        <w:t xml:space="preserve"> za</w:t>
      </w:r>
      <w:r w:rsidRPr="00C479B7">
        <w:t xml:space="preserve"> financiranje radova planiranih Nacionalnim projektom navodnjavanja koj</w:t>
      </w:r>
      <w:r w:rsidR="008D78CD">
        <w:t>i je dio Programa Vlade Republike Hrvatske.</w:t>
      </w:r>
    </w:p>
    <w:p w14:paraId="119F6ED2" w14:textId="50D8D643" w:rsidR="001433CA" w:rsidRPr="00DD0267" w:rsidRDefault="001433CA" w:rsidP="00FB0B9D">
      <w:pPr>
        <w:keepNext/>
        <w:jc w:val="both"/>
      </w:pPr>
    </w:p>
    <w:p w14:paraId="66F62625" w14:textId="3D6A6BE5" w:rsidR="00097F52" w:rsidRPr="00DD0267" w:rsidRDefault="00097F52" w:rsidP="00FB0B9D">
      <w:pPr>
        <w:keepNext/>
        <w:jc w:val="both"/>
      </w:pPr>
      <w:r w:rsidRPr="00DD0267">
        <w:t xml:space="preserve">Nadalje, </w:t>
      </w:r>
      <w:r w:rsidR="00FB0B9D" w:rsidRPr="00DD0267">
        <w:t>u</w:t>
      </w:r>
      <w:r w:rsidRPr="00DD0267">
        <w:t xml:space="preserve"> okviru</w:t>
      </w:r>
      <w:r w:rsidR="00FB0B9D" w:rsidRPr="00DD0267">
        <w:t xml:space="preserve"> izdataka u 2022. godini evidentirani su i izdaci za otplatu glavnice primljenih kredita od tuzemnih kreditnih institucija izvan javnog sektor</w:t>
      </w:r>
      <w:r w:rsidR="00075348">
        <w:t>a (Šifra 544). S</w:t>
      </w:r>
      <w:r w:rsidR="00FB0B9D" w:rsidRPr="00DD0267">
        <w:t xml:space="preserve"> ove osnove u</w:t>
      </w:r>
      <w:r w:rsidRPr="00DD0267">
        <w:t xml:space="preserve"> 2022. </w:t>
      </w:r>
      <w:r w:rsidR="00075348">
        <w:t xml:space="preserve">godini </w:t>
      </w:r>
      <w:r w:rsidR="00FB0B9D" w:rsidRPr="00DD0267">
        <w:t>izvršeno</w:t>
      </w:r>
      <w:r w:rsidRPr="00DD0267">
        <w:t xml:space="preserve"> je 6.536.639.722,11 </w:t>
      </w:r>
      <w:r w:rsidR="00FB0B9D" w:rsidRPr="00DD0267">
        <w:t xml:space="preserve">kuna </w:t>
      </w:r>
      <w:r w:rsidRPr="00DD0267">
        <w:t xml:space="preserve">izdataka. Navedeni izdaci najvećim se dijelom odnose na otplate glavnice primljenih kredita od Zagrebačke banke, </w:t>
      </w:r>
      <w:proofErr w:type="spellStart"/>
      <w:r w:rsidRPr="00DD0267">
        <w:t>Erste&amp;Steiermärkische</w:t>
      </w:r>
      <w:proofErr w:type="spellEnd"/>
      <w:r w:rsidRPr="00DD0267">
        <w:t xml:space="preserve"> banke te </w:t>
      </w:r>
      <w:r w:rsidR="00075348" w:rsidRPr="00075348">
        <w:t xml:space="preserve">RBA - </w:t>
      </w:r>
      <w:proofErr w:type="spellStart"/>
      <w:r w:rsidR="00075348" w:rsidRPr="00075348">
        <w:t>Raiffeisenbank</w:t>
      </w:r>
      <w:proofErr w:type="spellEnd"/>
      <w:r w:rsidR="00075348" w:rsidRPr="00075348">
        <w:t xml:space="preserve"> Hrvatska</w:t>
      </w:r>
      <w:r w:rsidRPr="00DD0267">
        <w:t>. U okviru ovih izdataka evidentiraju se i otplate glavnica kredita Sveučilišta koji se podmiruju iz državnog proračuna.</w:t>
      </w:r>
    </w:p>
    <w:p w14:paraId="1811DB03" w14:textId="564740EA" w:rsidR="00097F52" w:rsidRPr="00DD0267" w:rsidRDefault="00097F52" w:rsidP="00B13421">
      <w:pPr>
        <w:tabs>
          <w:tab w:val="decimal" w:pos="7380"/>
        </w:tabs>
        <w:jc w:val="both"/>
        <w:rPr>
          <w:color w:val="000000"/>
        </w:rPr>
      </w:pPr>
    </w:p>
    <w:p w14:paraId="52CA9DD5" w14:textId="4DCDCE4E" w:rsidR="001150A4" w:rsidRPr="00DD0267" w:rsidRDefault="00075348" w:rsidP="001150A4">
      <w:pPr>
        <w:jc w:val="both"/>
      </w:pPr>
      <w:r>
        <w:t xml:space="preserve">U okviru ukupnih izdataka, iznos </w:t>
      </w:r>
      <w:r w:rsidRPr="00DD0267">
        <w:t xml:space="preserve">od 1.000.000.000,00 kuna </w:t>
      </w:r>
      <w:r w:rsidR="001150A4" w:rsidRPr="00DD0267">
        <w:t>odnosi se na izdatke za dane zajmove kreditnim i ostalim financijskim institucijama u javnom sektoru</w:t>
      </w:r>
      <w:r w:rsidR="00B13421" w:rsidRPr="00DD0267">
        <w:t xml:space="preserve"> (Šifra 513)</w:t>
      </w:r>
      <w:r w:rsidR="001150A4" w:rsidRPr="00DD0267">
        <w:t xml:space="preserve"> u iznosu. Naime, Ministarstvo financija i </w:t>
      </w:r>
      <w:r>
        <w:t>HBOR</w:t>
      </w:r>
      <w:r w:rsidR="001150A4" w:rsidRPr="00DD0267">
        <w:t xml:space="preserve"> u listopadu 2022. godine zaključili su Ugovor o zajmu </w:t>
      </w:r>
      <w:proofErr w:type="spellStart"/>
      <w:r w:rsidR="001150A4" w:rsidRPr="00DD0267">
        <w:t>br</w:t>
      </w:r>
      <w:proofErr w:type="spellEnd"/>
      <w:r w:rsidR="001150A4" w:rsidRPr="00DD0267">
        <w:t>:</w:t>
      </w:r>
      <w:r w:rsidR="008F3626" w:rsidRPr="00DD0267">
        <w:t xml:space="preserve"> </w:t>
      </w:r>
      <w:r w:rsidR="001150A4" w:rsidRPr="00DD0267">
        <w:t>1/2022. Sredstva zajma HBOR koristi za osiguranje likvidnosti i provođenje kreditne aktivnosti. Na isplaćeni iznos zajma obračunava se kamata po fiksnoj stopi od 0,45% godišnje, a  HBOR otplaćuje isplaćeni iznos zajma jednokratno 2024. godine.</w:t>
      </w:r>
    </w:p>
    <w:p w14:paraId="7A5A7726" w14:textId="24D486CD" w:rsidR="00972A8E" w:rsidRPr="00DD0267" w:rsidRDefault="00972A8E" w:rsidP="0077331C">
      <w:pPr>
        <w:shd w:val="clear" w:color="auto" w:fill="FFFFFF"/>
        <w:jc w:val="both"/>
        <w:rPr>
          <w:sz w:val="28"/>
          <w:szCs w:val="28"/>
        </w:rPr>
      </w:pPr>
    </w:p>
    <w:p w14:paraId="39017934" w14:textId="661A23BC" w:rsidR="000F16E9" w:rsidRPr="00DD0267" w:rsidRDefault="00075348" w:rsidP="000F16E9">
      <w:pPr>
        <w:jc w:val="both"/>
      </w:pPr>
      <w:r>
        <w:t>U okviru izdataka za d</w:t>
      </w:r>
      <w:r w:rsidR="000F16E9" w:rsidRPr="00DD0267">
        <w:t xml:space="preserve">ionice i udjeli u glavnici </w:t>
      </w:r>
      <w:r>
        <w:t xml:space="preserve">(šifra 53) </w:t>
      </w:r>
      <w:r w:rsidR="000F16E9" w:rsidRPr="00DD0267">
        <w:t>u 2022. godini iskazano je 171.378.621,59 kuna. Navedeni iznos odnosi se na:</w:t>
      </w:r>
    </w:p>
    <w:p w14:paraId="2F337EDB" w14:textId="7BC39996" w:rsidR="000F16E9" w:rsidRPr="00DD0267" w:rsidRDefault="000F16E9" w:rsidP="000F16E9">
      <w:pPr>
        <w:pStyle w:val="Odlomakpopisa"/>
        <w:numPr>
          <w:ilvl w:val="0"/>
          <w:numId w:val="27"/>
        </w:numPr>
        <w:tabs>
          <w:tab w:val="left" w:pos="180"/>
          <w:tab w:val="left" w:pos="540"/>
        </w:tabs>
        <w:spacing w:after="120"/>
        <w:jc w:val="both"/>
        <w:rPr>
          <w:i/>
        </w:rPr>
      </w:pPr>
      <w:r w:rsidRPr="00DD0267">
        <w:rPr>
          <w:i/>
        </w:rPr>
        <w:t>Dionice i udjeli u glavnici kreditnih institucija u javnom sektoru (Šifra 5312)</w:t>
      </w:r>
    </w:p>
    <w:p w14:paraId="27E37DF7" w14:textId="0C7F8711" w:rsidR="000F16E9" w:rsidRPr="00DD0267" w:rsidRDefault="000F16E9" w:rsidP="000F16E9">
      <w:pPr>
        <w:jc w:val="both"/>
      </w:pPr>
      <w:r w:rsidRPr="00DD0267">
        <w:t>Za osnivački kapital HBOR-a u svrhu poticanja izvoza, infrastrukture i gospodarskih djelatnosti te malog i srednjeg poduzetni</w:t>
      </w:r>
      <w:r w:rsidR="00075348">
        <w:t>štva u 2022. izvršen je izdatak</w:t>
      </w:r>
      <w:r w:rsidRPr="00DD0267">
        <w:t xml:space="preserve"> u iznosu 20 milijuna kuna.</w:t>
      </w:r>
    </w:p>
    <w:p w14:paraId="78B3872F" w14:textId="4031B67B" w:rsidR="000F16E9" w:rsidRPr="00DD0267" w:rsidRDefault="000F16E9" w:rsidP="00AA1D76">
      <w:pPr>
        <w:jc w:val="both"/>
      </w:pPr>
    </w:p>
    <w:p w14:paraId="70E421B9" w14:textId="479B98A8" w:rsidR="00097F52" w:rsidRPr="00DD0267" w:rsidRDefault="000F16E9" w:rsidP="000F16E9">
      <w:pPr>
        <w:pStyle w:val="Odlomakpopisa"/>
        <w:numPr>
          <w:ilvl w:val="0"/>
          <w:numId w:val="27"/>
        </w:numPr>
        <w:tabs>
          <w:tab w:val="left" w:pos="180"/>
          <w:tab w:val="left" w:pos="540"/>
        </w:tabs>
        <w:spacing w:after="120"/>
        <w:jc w:val="both"/>
        <w:rPr>
          <w:i/>
        </w:rPr>
      </w:pPr>
      <w:r w:rsidRPr="00DD0267">
        <w:rPr>
          <w:i/>
        </w:rPr>
        <w:t xml:space="preserve">Dionice i udjeli u glavnici </w:t>
      </w:r>
      <w:r w:rsidR="00097F52" w:rsidRPr="00DD0267">
        <w:rPr>
          <w:i/>
        </w:rPr>
        <w:t>inozemnih kreditnih i ostalih financijskih institucija izvan javnog  sektora</w:t>
      </w:r>
      <w:r w:rsidRPr="00DD0267">
        <w:rPr>
          <w:i/>
        </w:rPr>
        <w:t xml:space="preserve"> </w:t>
      </w:r>
      <w:r w:rsidR="00075348">
        <w:rPr>
          <w:i/>
        </w:rPr>
        <w:t>(Šifra</w:t>
      </w:r>
      <w:r w:rsidRPr="00DD0267">
        <w:rPr>
          <w:i/>
        </w:rPr>
        <w:t xml:space="preserve"> 5332</w:t>
      </w:r>
      <w:r w:rsidR="00075348">
        <w:rPr>
          <w:i/>
        </w:rPr>
        <w:t>)</w:t>
      </w:r>
    </w:p>
    <w:p w14:paraId="2FDEEE3D" w14:textId="7949B2B9" w:rsidR="00097F52" w:rsidRPr="00DD0267" w:rsidRDefault="00097F52" w:rsidP="00097F52">
      <w:pPr>
        <w:jc w:val="both"/>
      </w:pPr>
      <w:r w:rsidRPr="00DD0267">
        <w:t xml:space="preserve">U 2022. ostvareno je 50.378.621,59 kuna </w:t>
      </w:r>
      <w:r w:rsidR="00075348">
        <w:t>izdataka</w:t>
      </w:r>
      <w:r w:rsidRPr="00DD0267">
        <w:t xml:space="preserve"> od dionica i udjela u glavnici inozemnih kreditnih i ostalih financijskih in</w:t>
      </w:r>
      <w:r w:rsidR="00075348">
        <w:t>stitucija izvan javnog  sektora, i to:</w:t>
      </w:r>
    </w:p>
    <w:p w14:paraId="52B8136A" w14:textId="2F70C7D1" w:rsidR="00075348" w:rsidRDefault="00075348" w:rsidP="00097F52">
      <w:pPr>
        <w:pStyle w:val="Odlomakpopisa"/>
        <w:numPr>
          <w:ilvl w:val="0"/>
          <w:numId w:val="30"/>
        </w:numPr>
        <w:jc w:val="both"/>
      </w:pPr>
      <w:r>
        <w:t>izdatak</w:t>
      </w:r>
      <w:r w:rsidR="00097F52" w:rsidRPr="00DD0267">
        <w:t xml:space="preserve"> u iznosu od 27.248.700,41 </w:t>
      </w:r>
      <w:r>
        <w:t xml:space="preserve">kuna </w:t>
      </w:r>
      <w:r w:rsidR="00097F52" w:rsidRPr="00DD0267">
        <w:t>odnosi se na ulaganje Republike Hrvatske u Investicijski fond Inicijative triju mora temeljem Odluke Vlade Republike Hrvatske o ulaganju Republike Hrvatske u  Investicijski fond Inicijative triju mor</w:t>
      </w:r>
      <w:r w:rsidR="00C751F7">
        <w:t>a od 14. listopada 2020. godine,</w:t>
      </w:r>
    </w:p>
    <w:p w14:paraId="7837E794" w14:textId="60E23BEF" w:rsidR="00C751F7" w:rsidRDefault="00075348" w:rsidP="00C751F7">
      <w:pPr>
        <w:pStyle w:val="Odlomakpopisa"/>
        <w:numPr>
          <w:ilvl w:val="0"/>
          <w:numId w:val="30"/>
        </w:numPr>
        <w:jc w:val="both"/>
      </w:pPr>
      <w:r>
        <w:lastRenderedPageBreak/>
        <w:t>izdatak</w:t>
      </w:r>
      <w:r w:rsidR="00097F52" w:rsidRPr="00DD0267">
        <w:t xml:space="preserve"> od 1.460.326,00 </w:t>
      </w:r>
      <w:r>
        <w:t xml:space="preserve">kuna </w:t>
      </w:r>
      <w:r w:rsidR="00097F52" w:rsidRPr="00DD0267">
        <w:t>odnosi se na uplatu u korist članskog kapitala RH u Azijskoj infrastrukturnoj investicijskoj banci (AIIB). Ova uplata je druga od pet rata kapitala koji je RH dužna uplatiti postavši krajem 2021. godine punopravnom članicom AIIB-a, temeljem čl. 4. Zakona o potvrđivanju Statuta Azijske infrastrukturne investi</w:t>
      </w:r>
      <w:r w:rsidR="00C751F7">
        <w:t>cijske banke (NN-MU br. 7/2021),</w:t>
      </w:r>
    </w:p>
    <w:p w14:paraId="08154C9C" w14:textId="77777777" w:rsidR="00C751F7" w:rsidRDefault="00C751F7" w:rsidP="00C751F7">
      <w:pPr>
        <w:pStyle w:val="Odlomakpopisa"/>
        <w:numPr>
          <w:ilvl w:val="0"/>
          <w:numId w:val="30"/>
        </w:numPr>
        <w:jc w:val="both"/>
      </w:pPr>
      <w:r>
        <w:t>izdatak</w:t>
      </w:r>
      <w:r w:rsidR="00097F52" w:rsidRPr="00DD0267">
        <w:t xml:space="preserve"> od 11.675.571,58 </w:t>
      </w:r>
      <w:r>
        <w:t xml:space="preserve">kuna </w:t>
      </w:r>
      <w:r w:rsidR="00097F52" w:rsidRPr="00DD0267">
        <w:t>odnosi se na uplatu u korist članskog kapitala Međunarodnoj banci za obnovu i razvoj (IBRD): Ova uplata je četvrta od pet rata kapitala koji RH uplaćuje sudjelujući u Općem i selektivnom povećanju kapitala IBRD-a iz 2018. godine, temeljem Odluke Vlade RH od 1. kolovoza 2019. godine (NN 74/2019). </w:t>
      </w:r>
    </w:p>
    <w:p w14:paraId="543ADE96" w14:textId="7FF26ED0" w:rsidR="00C751F7" w:rsidRPr="00C751F7" w:rsidRDefault="00C751F7" w:rsidP="00C751F7">
      <w:pPr>
        <w:pStyle w:val="Odlomakpopisa"/>
        <w:numPr>
          <w:ilvl w:val="0"/>
          <w:numId w:val="30"/>
        </w:numPr>
        <w:jc w:val="both"/>
      </w:pPr>
      <w:r>
        <w:t>izdatak</w:t>
      </w:r>
      <w:r w:rsidR="00097F52" w:rsidRPr="00DD0267">
        <w:t xml:space="preserve"> od 10.084.461,00 </w:t>
      </w:r>
      <w:r>
        <w:t xml:space="preserve">kuna </w:t>
      </w:r>
      <w:r w:rsidR="00097F52" w:rsidRPr="00DD0267">
        <w:t xml:space="preserve">odnosi se na uplatu u korist članskog kapitala Međunarodnoj financijskoj korporaciji (IFC) treće od pet rata kapitala koji RH uplaćuje sudjelujući u Općem povećanju kapitala IFC-a iz 2018. godine, temeljem Odluke Vlade RH od 7. prosinca 2020. godine (NN </w:t>
      </w:r>
      <w:r w:rsidR="00DD0267">
        <w:t xml:space="preserve">136/2020). Napomena: </w:t>
      </w:r>
      <w:r w:rsidR="00097F52" w:rsidRPr="00C751F7">
        <w:t>Plaćanje 3 rate kapitala u iznosu od 1.410.000,00 USD </w:t>
      </w:r>
      <w:r w:rsidRPr="00C751F7">
        <w:t xml:space="preserve">plaćeno je sa jedinstvenog računa državnog proračuna 29. prosinca 2022. godine što je u glavnoj knjizi državnog proračuna evidentirano kao izdatak. Međutim, zbog tehničkih poteškoća u sustavu plaćanja, primatelj sredstava (Međunarodna financijska korporacija (IFC)) nije mogao evidentirati predmetnu uplatu te se na dan 31. prosinca 2022. godine ukupno stanje kapitala za Republiku Hrvatsku nije mijenjalo. Nakon što su otklonjene tehničke poteškoće Međunarodna financijska korporacija (IFC) zaprimila je uplatu na dan 20. siječnja 2023. godine.   </w:t>
      </w:r>
    </w:p>
    <w:p w14:paraId="727578D0" w14:textId="44BF1314" w:rsidR="000F16E9" w:rsidRDefault="000F16E9" w:rsidP="00097F52">
      <w:pPr>
        <w:pStyle w:val="StandardWeb"/>
        <w:shd w:val="clear" w:color="auto" w:fill="FFFFFF"/>
        <w:spacing w:before="0" w:beforeAutospacing="0" w:after="0" w:afterAutospacing="0"/>
        <w:jc w:val="both"/>
      </w:pPr>
    </w:p>
    <w:p w14:paraId="6BCA6687" w14:textId="77777777" w:rsidR="000F16E9" w:rsidRPr="00DD0267" w:rsidRDefault="000F16E9" w:rsidP="000F16E9">
      <w:pPr>
        <w:pStyle w:val="Odlomakpopisa"/>
        <w:numPr>
          <w:ilvl w:val="0"/>
          <w:numId w:val="27"/>
        </w:numPr>
        <w:tabs>
          <w:tab w:val="left" w:pos="180"/>
          <w:tab w:val="left" w:pos="540"/>
        </w:tabs>
        <w:spacing w:after="120"/>
        <w:jc w:val="both"/>
        <w:rPr>
          <w:i/>
        </w:rPr>
      </w:pPr>
      <w:r w:rsidRPr="00DD0267">
        <w:rPr>
          <w:i/>
        </w:rPr>
        <w:t xml:space="preserve">Dionice i udjeli u glavnici tuzemnih trgovačkih društava izvan javnog sektora </w:t>
      </w:r>
    </w:p>
    <w:p w14:paraId="38884709" w14:textId="77777777" w:rsidR="000F16E9" w:rsidRPr="00DD0267" w:rsidRDefault="000F16E9" w:rsidP="000F16E9">
      <w:pPr>
        <w:jc w:val="both"/>
      </w:pPr>
    </w:p>
    <w:p w14:paraId="5F19E861" w14:textId="77777777" w:rsidR="000F16E9" w:rsidRPr="00DD0267" w:rsidRDefault="000F16E9" w:rsidP="000F16E9">
      <w:pPr>
        <w:jc w:val="both"/>
      </w:pPr>
      <w:r w:rsidRPr="00DD0267">
        <w:t>U 2022. godini evidentirano je 101.000.000,00 kuna izdataka za dionice i udjele u glavnici tuzemnih trgovačkih društava izvan javnog sektora. Detalji su klasificirani podaci sukladno Zakonu o tajnosti podataka kojim se uređuje pojam klasificiranih i neklasificiranih podataka.</w:t>
      </w:r>
    </w:p>
    <w:p w14:paraId="5E6EB40D" w14:textId="23D74DE8" w:rsidR="00097F52" w:rsidRPr="00DD0267" w:rsidRDefault="00097F52" w:rsidP="00097F52">
      <w:pPr>
        <w:pStyle w:val="StandardWeb"/>
        <w:shd w:val="clear" w:color="auto" w:fill="FFFFFF"/>
        <w:spacing w:before="0" w:beforeAutospacing="0" w:after="0" w:afterAutospacing="0"/>
        <w:rPr>
          <w:rFonts w:ascii="Calibri" w:hAnsi="Calibri" w:cs="Calibri"/>
          <w:color w:val="000000"/>
        </w:rPr>
      </w:pPr>
    </w:p>
    <w:p w14:paraId="5F0665C2" w14:textId="1E9AF455" w:rsidR="00C751F7" w:rsidRPr="00DD0267" w:rsidRDefault="003240B1" w:rsidP="001150A4">
      <w:pPr>
        <w:jc w:val="both"/>
      </w:pPr>
      <w:r w:rsidRPr="00DD0267">
        <w:t>U okviru izdataka razreda 5 u financijskom izvještaju državnog proračuna iskazani su i:</w:t>
      </w:r>
    </w:p>
    <w:p w14:paraId="7FD9AE9E" w14:textId="4B112491" w:rsidR="003240B1" w:rsidRPr="00DD0267" w:rsidRDefault="003240B1" w:rsidP="003240B1">
      <w:pPr>
        <w:pStyle w:val="Odlomakpopisa"/>
        <w:numPr>
          <w:ilvl w:val="0"/>
          <w:numId w:val="28"/>
        </w:numPr>
        <w:jc w:val="both"/>
        <w:rPr>
          <w:i/>
        </w:rPr>
      </w:pPr>
      <w:r w:rsidRPr="00DD0267">
        <w:rPr>
          <w:i/>
        </w:rPr>
        <w:t xml:space="preserve">Dani zajmovi tuzemnim trgovačkim društvima izvan javnog sektora (Šifra 5163)  u </w:t>
      </w:r>
      <w:r w:rsidR="00C751F7">
        <w:rPr>
          <w:i/>
        </w:rPr>
        <w:t>iznosu od  125.000.000,00 kuna</w:t>
      </w:r>
    </w:p>
    <w:p w14:paraId="30678015" w14:textId="2BD35E17" w:rsidR="003240B1" w:rsidRPr="00DD0267" w:rsidRDefault="003240B1" w:rsidP="00C751F7">
      <w:pPr>
        <w:ind w:left="360"/>
        <w:jc w:val="both"/>
      </w:pPr>
      <w:r w:rsidRPr="00DD0267">
        <w:t>U</w:t>
      </w:r>
      <w:r w:rsidRPr="00DD0267">
        <w:rPr>
          <w:i/>
        </w:rPr>
        <w:t xml:space="preserve"> </w:t>
      </w:r>
      <w:r w:rsidRPr="00DD0267">
        <w:t>2022. godini HBOR, Ministarstvo financija, kao tijelo nadležno za koordinaciju praćenja provedbe NPOO-a 2021.-2026., i Ministarstvo gospodarstva i održivog razvoja, kao tijelo nadležno za komponentu/</w:t>
      </w:r>
      <w:proofErr w:type="spellStart"/>
      <w:r w:rsidRPr="00DD0267">
        <w:t>podkomponentu</w:t>
      </w:r>
      <w:proofErr w:type="spellEnd"/>
      <w:r w:rsidRPr="00DD0267">
        <w:t xml:space="preserve"> NPOO-a 2021.-2026., sklopili su Sporazum o delegiranim poslovima u svrhu uspostave Financijskog instrumenta izravnih kredita HBOR-a iznosa iznad 100 000 EUR za mikro, male i srednje poslovne subjekte. Inicijalno raspoloživa sredstva namijenjena za ovaj financijski instrument iznose 500 milijuna kuna. Sporazumom se ovlašćuje HBOR na provedbu i upravljanje s financijskim instrumentom, u svoje ime, a za račun i na rizik Republike Hrvatske. Financijski instrument provodi se izravnim odobrenjem kredita od strane HBOR-a, u skladu s investicijskom politikom. Temeljem investicijske politike HBOR izrađuje plan povlačenja raspoloživih sredstava koja su osigurana u državnom proračunu. </w:t>
      </w:r>
    </w:p>
    <w:p w14:paraId="0DA97ECC" w14:textId="77777777" w:rsidR="003240B1" w:rsidRPr="00DD0267" w:rsidRDefault="003240B1" w:rsidP="003240B1">
      <w:pPr>
        <w:ind w:left="360"/>
        <w:jc w:val="both"/>
      </w:pPr>
    </w:p>
    <w:p w14:paraId="55EBD714" w14:textId="0E27BB88" w:rsidR="003240B1" w:rsidRPr="00DD0267" w:rsidRDefault="003240B1" w:rsidP="00C751F7">
      <w:pPr>
        <w:ind w:left="360"/>
        <w:jc w:val="both"/>
      </w:pPr>
      <w:r w:rsidRPr="00DD0267">
        <w:t>U 2022. godini Ministarstvo financija je sukladno spomenutom Sporazumu, a na temelju plana povlačenja i zahtjeva za plaćanje dostavljenog od strane HBOR-a isplatilo iznos od 125.000.000 kuna na ime danih zajmova tuzemnim trgovačkim društvima izvan javnog sektora. U skladu s Uputom Ministarstva financija (KLASA: 400-02/22-01/54 URBROJ:513-05-03-22-1) od 29. prosinca 2022. doznačavanje sredstava krajnjim primateljima putem posrednika HBOR-a, evidentira se na osnovnim računima prema krajnjim primateljima, a ne kao da je dan zajam HBOR-u.</w:t>
      </w:r>
    </w:p>
    <w:p w14:paraId="27DEA651" w14:textId="77777777" w:rsidR="003240B1" w:rsidRPr="00DD0267" w:rsidRDefault="003240B1" w:rsidP="003240B1">
      <w:pPr>
        <w:ind w:left="360"/>
        <w:jc w:val="both"/>
      </w:pPr>
    </w:p>
    <w:p w14:paraId="49AE4353" w14:textId="6A37C32D" w:rsidR="00097F52" w:rsidRPr="00DD0267" w:rsidRDefault="003240B1" w:rsidP="003240B1">
      <w:pPr>
        <w:pStyle w:val="Odlomakpopisa"/>
        <w:numPr>
          <w:ilvl w:val="0"/>
          <w:numId w:val="28"/>
        </w:numPr>
        <w:jc w:val="both"/>
        <w:rPr>
          <w:i/>
        </w:rPr>
      </w:pPr>
      <w:r w:rsidRPr="00DD0267">
        <w:rPr>
          <w:i/>
        </w:rPr>
        <w:lastRenderedPageBreak/>
        <w:t>Dani zajmovi drugim razinama vlasti (Šifra 517) u iznosu od 30.000.000,00</w:t>
      </w:r>
      <w:r w:rsidR="00510263" w:rsidRPr="00DD0267">
        <w:rPr>
          <w:i/>
        </w:rPr>
        <w:t xml:space="preserve"> </w:t>
      </w:r>
      <w:r w:rsidRPr="00DD0267">
        <w:rPr>
          <w:i/>
        </w:rPr>
        <w:t>kuna</w:t>
      </w:r>
    </w:p>
    <w:p w14:paraId="35244777" w14:textId="7BEF9232" w:rsidR="00097F52" w:rsidRPr="00DD0267" w:rsidRDefault="00097F52" w:rsidP="001150A4">
      <w:pPr>
        <w:jc w:val="both"/>
      </w:pPr>
    </w:p>
    <w:p w14:paraId="37FF6D09" w14:textId="582A3843" w:rsidR="00FD4A3E" w:rsidRPr="00DD0267" w:rsidRDefault="003240B1" w:rsidP="00FD4A3E">
      <w:pPr>
        <w:tabs>
          <w:tab w:val="decimal" w:pos="7380"/>
        </w:tabs>
        <w:jc w:val="both"/>
        <w:rPr>
          <w:color w:val="000000"/>
        </w:rPr>
      </w:pPr>
      <w:r w:rsidRPr="00DD0267">
        <w:t xml:space="preserve">Navedeni iznos odnosi se na dane zajmove temeljem </w:t>
      </w:r>
      <w:r w:rsidRPr="00DD0267">
        <w:rPr>
          <w:color w:val="000000"/>
        </w:rPr>
        <w:t xml:space="preserve">Odluke </w:t>
      </w:r>
      <w:r w:rsidR="00C751F7">
        <w:rPr>
          <w:color w:val="000000"/>
        </w:rPr>
        <w:t xml:space="preserve">Vlade republike Hrvatske </w:t>
      </w:r>
      <w:r w:rsidRPr="00DD0267">
        <w:rPr>
          <w:color w:val="000000"/>
        </w:rPr>
        <w:t>o dodjeli beskamatnog zajma jedinicama lokalne i područne (regionalne) samouprave (dalje u tekstu: JLP(R)S) koje su pogođene posljedicama razornih potresa na području Grada Zagreba, Zagrebačke županije, Krapinsko-zagorske županije, Sisačko-moslavačke županije i Karlovačke županije za sanaciju šteta od potresa (Narodne novine, br. 12/22, 46/22, 55/22 i 85/22) (dalje u tekstu: Odluka</w:t>
      </w:r>
      <w:r w:rsidR="00C751F7">
        <w:rPr>
          <w:color w:val="000000"/>
        </w:rPr>
        <w:t xml:space="preserve"> Vlade RH</w:t>
      </w:r>
      <w:r w:rsidRPr="00DD0267">
        <w:rPr>
          <w:color w:val="000000"/>
        </w:rPr>
        <w:t xml:space="preserve">). Ovom Odlukom uređuje </w:t>
      </w:r>
      <w:r w:rsidR="000B32A4">
        <w:rPr>
          <w:color w:val="000000"/>
        </w:rPr>
        <w:t xml:space="preserve">se </w:t>
      </w:r>
      <w:r w:rsidRPr="00DD0267">
        <w:rPr>
          <w:color w:val="000000"/>
        </w:rPr>
        <w:t xml:space="preserve">način i kriteriji za podnošenje zahtjeva, isplata i način povrata zajma. </w:t>
      </w:r>
      <w:r w:rsidR="000B32A4">
        <w:rPr>
          <w:color w:val="000000"/>
        </w:rPr>
        <w:t>Sukladno Odluci Vlade RH</w:t>
      </w:r>
      <w:r w:rsidRPr="00DD0267">
        <w:rPr>
          <w:color w:val="000000"/>
        </w:rPr>
        <w:t xml:space="preserve"> iznos sredstava beskamatnog zajma po pojedinoj JLP(R)S utvrdilo je Povjerenstvo.</w:t>
      </w:r>
      <w:r w:rsidR="000B32A4">
        <w:rPr>
          <w:color w:val="000000"/>
        </w:rPr>
        <w:t xml:space="preserve"> </w:t>
      </w:r>
      <w:r w:rsidRPr="00DD0267">
        <w:rPr>
          <w:color w:val="000000"/>
        </w:rPr>
        <w:t>Temeljem Odluke Povjerenstva u 2022. isplaćeno je ukupno 30.000.000,00 kuna sredstava beskamatnog zajma po zahtjevima navedenih JLP(R)S i to:</w:t>
      </w:r>
    </w:p>
    <w:p w14:paraId="3DD6F3B5" w14:textId="34AA85F9" w:rsidR="00FD4A3E" w:rsidRPr="00DD0267" w:rsidRDefault="00FD4A3E" w:rsidP="000B32A4">
      <w:pPr>
        <w:pStyle w:val="Odlomakpopisa"/>
        <w:numPr>
          <w:ilvl w:val="0"/>
          <w:numId w:val="31"/>
        </w:numPr>
        <w:tabs>
          <w:tab w:val="decimal" w:pos="7380"/>
        </w:tabs>
        <w:jc w:val="both"/>
        <w:rPr>
          <w:color w:val="000000"/>
        </w:rPr>
      </w:pPr>
      <w:r w:rsidRPr="00DD0267">
        <w:rPr>
          <w:color w:val="000000"/>
        </w:rPr>
        <w:t>zajm</w:t>
      </w:r>
      <w:r w:rsidR="001B0EC3" w:rsidRPr="00DD0267">
        <w:rPr>
          <w:color w:val="000000"/>
        </w:rPr>
        <w:t>ovi</w:t>
      </w:r>
      <w:r w:rsidRPr="00DD0267">
        <w:rPr>
          <w:color w:val="000000"/>
        </w:rPr>
        <w:t xml:space="preserve"> gradskim proračunima (osnovni račun </w:t>
      </w:r>
      <w:r w:rsidRPr="00DD0267">
        <w:rPr>
          <w:i/>
          <w:color w:val="000000"/>
        </w:rPr>
        <w:t>51732 Dani zajmovi gradskim proračunima – dugoročni</w:t>
      </w:r>
      <w:r w:rsidRPr="00DD0267">
        <w:rPr>
          <w:color w:val="000000"/>
        </w:rPr>
        <w:t xml:space="preserve">) </w:t>
      </w:r>
      <w:r w:rsidR="001B0EC3" w:rsidRPr="00DD0267">
        <w:rPr>
          <w:color w:val="000000"/>
        </w:rPr>
        <w:t xml:space="preserve">- </w:t>
      </w:r>
      <w:r w:rsidRPr="00DD0267">
        <w:rPr>
          <w:color w:val="000000"/>
        </w:rPr>
        <w:t>27.500.000,00 k</w:t>
      </w:r>
      <w:r w:rsidR="000B32A4">
        <w:rPr>
          <w:color w:val="000000"/>
        </w:rPr>
        <w:t>u</w:t>
      </w:r>
      <w:r w:rsidRPr="00DD0267">
        <w:rPr>
          <w:color w:val="000000"/>
        </w:rPr>
        <w:t>n</w:t>
      </w:r>
      <w:r w:rsidR="000B32A4">
        <w:rPr>
          <w:color w:val="000000"/>
        </w:rPr>
        <w:t>a</w:t>
      </w:r>
      <w:r w:rsidRPr="00DD0267">
        <w:rPr>
          <w:color w:val="000000"/>
        </w:rPr>
        <w:t xml:space="preserve"> </w:t>
      </w:r>
      <w:r w:rsidR="000B32A4">
        <w:rPr>
          <w:color w:val="000000"/>
        </w:rPr>
        <w:t>i</w:t>
      </w:r>
    </w:p>
    <w:p w14:paraId="7A502996" w14:textId="423965D2" w:rsidR="00FD4A3E" w:rsidRPr="00DD0267" w:rsidRDefault="001B0EC3" w:rsidP="000B32A4">
      <w:pPr>
        <w:pStyle w:val="Odlomakpopisa"/>
        <w:numPr>
          <w:ilvl w:val="0"/>
          <w:numId w:val="31"/>
        </w:numPr>
        <w:tabs>
          <w:tab w:val="decimal" w:pos="7380"/>
        </w:tabs>
        <w:jc w:val="both"/>
        <w:rPr>
          <w:color w:val="000000"/>
        </w:rPr>
      </w:pPr>
      <w:r w:rsidRPr="00DD0267">
        <w:rPr>
          <w:color w:val="000000"/>
        </w:rPr>
        <w:t xml:space="preserve">zajmovi općinskim proračunima (osnovni račun </w:t>
      </w:r>
      <w:r w:rsidR="00FD4A3E" w:rsidRPr="00DD0267">
        <w:rPr>
          <w:i/>
          <w:color w:val="000000"/>
        </w:rPr>
        <w:t>51742</w:t>
      </w:r>
      <w:r w:rsidR="00FD4A3E" w:rsidRPr="00DD0267">
        <w:rPr>
          <w:color w:val="000000"/>
        </w:rPr>
        <w:t xml:space="preserve"> </w:t>
      </w:r>
      <w:r w:rsidR="00FD4A3E" w:rsidRPr="00DD0267">
        <w:rPr>
          <w:i/>
          <w:color w:val="000000"/>
        </w:rPr>
        <w:t>Dani zajmovi općinskim proračunima - dugoročni</w:t>
      </w:r>
      <w:r w:rsidR="00FD4A3E" w:rsidRPr="00DD0267">
        <w:rPr>
          <w:color w:val="000000"/>
        </w:rPr>
        <w:t xml:space="preserve"> </w:t>
      </w:r>
      <w:r w:rsidRPr="00DD0267">
        <w:rPr>
          <w:color w:val="000000"/>
        </w:rPr>
        <w:t xml:space="preserve">- </w:t>
      </w:r>
      <w:r w:rsidR="00FD4A3E" w:rsidRPr="00DD0267">
        <w:rPr>
          <w:color w:val="000000"/>
        </w:rPr>
        <w:t>2.500.000,00 k</w:t>
      </w:r>
      <w:r w:rsidR="000B32A4">
        <w:rPr>
          <w:color w:val="000000"/>
        </w:rPr>
        <w:t>u</w:t>
      </w:r>
      <w:r w:rsidR="00FD4A3E" w:rsidRPr="00DD0267">
        <w:rPr>
          <w:color w:val="000000"/>
        </w:rPr>
        <w:t>n</w:t>
      </w:r>
      <w:r w:rsidR="000B32A4">
        <w:rPr>
          <w:color w:val="000000"/>
        </w:rPr>
        <w:t>a.</w:t>
      </w:r>
      <w:r w:rsidR="00FD4A3E" w:rsidRPr="00DD0267">
        <w:rPr>
          <w:color w:val="000000"/>
        </w:rPr>
        <w:t xml:space="preserve"> </w:t>
      </w:r>
    </w:p>
    <w:p w14:paraId="367370AD" w14:textId="4C75E7B7" w:rsidR="0048271A" w:rsidRDefault="0048271A" w:rsidP="00510263">
      <w:pPr>
        <w:rPr>
          <w:sz w:val="28"/>
          <w:szCs w:val="28"/>
        </w:rPr>
      </w:pPr>
    </w:p>
    <w:p w14:paraId="5CA483C1" w14:textId="36247728" w:rsidR="00CF3957" w:rsidRPr="00CF3957" w:rsidRDefault="00CF3957" w:rsidP="00CF3957">
      <w:pPr>
        <w:jc w:val="both"/>
        <w:rPr>
          <w:szCs w:val="20"/>
        </w:rPr>
      </w:pPr>
      <w:r w:rsidRPr="003B30B6">
        <w:br w:type="page"/>
      </w:r>
    </w:p>
    <w:p w14:paraId="75869C87" w14:textId="77777777" w:rsidR="00CF3957" w:rsidRPr="003B30B6" w:rsidRDefault="00CF3957" w:rsidP="00CF3957">
      <w:pPr>
        <w:pageBreakBefore/>
        <w:jc w:val="center"/>
        <w:outlineLvl w:val="0"/>
        <w:rPr>
          <w:b/>
          <w:bCs/>
          <w:sz w:val="28"/>
        </w:rPr>
      </w:pPr>
      <w:r w:rsidRPr="003B30B6">
        <w:rPr>
          <w:b/>
          <w:bCs/>
          <w:sz w:val="28"/>
        </w:rPr>
        <w:lastRenderedPageBreak/>
        <w:t>BILJEŠKE UZ BILANCU</w:t>
      </w:r>
    </w:p>
    <w:p w14:paraId="482FD543" w14:textId="77777777" w:rsidR="00CF3957" w:rsidRPr="003B30B6" w:rsidRDefault="00CF3957" w:rsidP="00CF3957">
      <w:pPr>
        <w:jc w:val="both"/>
        <w:rPr>
          <w:bCs/>
          <w:szCs w:val="28"/>
        </w:rPr>
      </w:pPr>
    </w:p>
    <w:p w14:paraId="6E154CAB" w14:textId="77777777" w:rsidR="00CF3957" w:rsidRPr="00D444AB" w:rsidRDefault="00CF3957" w:rsidP="00CF3957">
      <w:pPr>
        <w:keepNext/>
        <w:jc w:val="center"/>
        <w:rPr>
          <w:sz w:val="28"/>
        </w:rPr>
      </w:pPr>
      <w:r w:rsidRPr="00D444AB">
        <w:rPr>
          <w:sz w:val="28"/>
        </w:rPr>
        <w:t xml:space="preserve">Bilješka 1. </w:t>
      </w:r>
    </w:p>
    <w:p w14:paraId="422B3A73" w14:textId="77777777" w:rsidR="00CF3957" w:rsidRPr="00B852EF" w:rsidRDefault="00CF3957" w:rsidP="00CF3957">
      <w:pPr>
        <w:jc w:val="both"/>
        <w:rPr>
          <w:szCs w:val="20"/>
        </w:rPr>
      </w:pPr>
      <w:r w:rsidRPr="00D444AB">
        <w:rPr>
          <w:szCs w:val="20"/>
        </w:rPr>
        <w:t xml:space="preserve">Obrazac BIL Državnog proračuna izrađen je na temelju podatka sadržanih u Glavnoj knjizi proračuna. Kako je već navedeno, Glavnu knjigu proračuna informatički podržava SAP sustav koji je izgrađen prvenstveno kao transakcijski sustav u koji se ručno unose podaci iz ostalih računovodstvenih sustava proračunskih korisnika temeljem zahtjeva za plaćanje. Kroz projekt povezivanja informacijskih sustava proračunskih korisnika i sustava državne riznice stvorile su se pretpostavke za razvoj cjelovite računovodstvene funkcije. Projektom je razvijen </w:t>
      </w:r>
      <w:proofErr w:type="spellStart"/>
      <w:r w:rsidRPr="00D444AB">
        <w:rPr>
          <w:szCs w:val="20"/>
        </w:rPr>
        <w:t>Gateway</w:t>
      </w:r>
      <w:proofErr w:type="spellEnd"/>
      <w:r w:rsidRPr="00D444AB">
        <w:rPr>
          <w:szCs w:val="20"/>
        </w:rPr>
        <w:t xml:space="preserve"> kao središnji sustav za razmjenu elektroničkih dokumenata između sustava proračunskih korisnika i sustava državne riznice, a povezivanjem svih proračunskih korisnika dobit će se cjeloviti podaci o obvezama korisnika u Glavnoj knjizi proračuna.</w:t>
      </w:r>
      <w:r w:rsidRPr="00D444AB">
        <w:rPr>
          <w:bCs/>
          <w:szCs w:val="20"/>
        </w:rPr>
        <w:t xml:space="preserve"> Iako je napravljen veliki iskorak u stvaranju cjelovite Bilance u odnosu na ranije godine, još uvijek se dio </w:t>
      </w:r>
      <w:r w:rsidRPr="00D444AB">
        <w:rPr>
          <w:szCs w:val="20"/>
        </w:rPr>
        <w:t>evidencija o obvezama i najveći dio potraživanja koje su unesene u Glavnu knjigu kroz SAP sustav temelje na ručnim knjiženjima djelatnika u Državnoj riznici, a podloga im je u analitičkim evidencijama koje su kod proračunskih korisnika i/ili pojedinih organizacijskih jedinica Ministarstva financija. Kao što je naglašeno, do potpunog povezivanja analitičkih evidencija svih proračunskih korisnika nemoguće je ručnim knjiženjima pratiti sve poslovne događaje i transakcije vezane uz bilančne pozicije svih subjekata središnje države. Konsolidacijom bilanci proračunskih korisnika s bilancom Državnog proračuna dobivaju se sveobuhvatni podaci o potraživanjima i obvezama Državnog proračuna.</w:t>
      </w:r>
    </w:p>
    <w:p w14:paraId="0F6E3136" w14:textId="77777777" w:rsidR="00CF3957" w:rsidRPr="00B852EF" w:rsidRDefault="00CF3957" w:rsidP="00CF3957">
      <w:pPr>
        <w:jc w:val="both"/>
        <w:rPr>
          <w:bCs/>
          <w:szCs w:val="20"/>
        </w:rPr>
      </w:pPr>
    </w:p>
    <w:p w14:paraId="11629985" w14:textId="77777777" w:rsidR="00CF3957" w:rsidRPr="00B852EF" w:rsidRDefault="00CF3957" w:rsidP="00CF3957">
      <w:pPr>
        <w:keepNext/>
        <w:jc w:val="center"/>
        <w:rPr>
          <w:sz w:val="28"/>
        </w:rPr>
      </w:pPr>
      <w:r w:rsidRPr="00B852EF">
        <w:rPr>
          <w:sz w:val="28"/>
        </w:rPr>
        <w:t>Bilješka 2.</w:t>
      </w:r>
    </w:p>
    <w:p w14:paraId="0EA83FF0" w14:textId="77777777" w:rsidR="00CF3957" w:rsidRPr="00B852EF" w:rsidRDefault="00CF3957" w:rsidP="00CF3957">
      <w:pPr>
        <w:keepNext/>
        <w:jc w:val="center"/>
        <w:rPr>
          <w:bCs/>
          <w:sz w:val="28"/>
        </w:rPr>
      </w:pPr>
      <w:r>
        <w:rPr>
          <w:bCs/>
          <w:sz w:val="28"/>
        </w:rPr>
        <w:t xml:space="preserve">Šifra 11 </w:t>
      </w:r>
      <w:r w:rsidRPr="00B852EF">
        <w:rPr>
          <w:bCs/>
          <w:sz w:val="28"/>
        </w:rPr>
        <w:t xml:space="preserve">Novac u banci i blagajni </w:t>
      </w:r>
    </w:p>
    <w:p w14:paraId="67A98BA3" w14:textId="77777777" w:rsidR="00CF3957" w:rsidRDefault="00CF3957" w:rsidP="00CF3957">
      <w:pPr>
        <w:keepNext/>
        <w:jc w:val="both"/>
      </w:pPr>
    </w:p>
    <w:p w14:paraId="6E5EE7EB" w14:textId="77777777" w:rsidR="00CF3957" w:rsidRPr="00B852EF" w:rsidRDefault="00CF3957" w:rsidP="00CF3957">
      <w:pPr>
        <w:keepNext/>
        <w:jc w:val="both"/>
      </w:pPr>
      <w:r w:rsidRPr="00B852EF">
        <w:t xml:space="preserve">Stanje na </w:t>
      </w:r>
      <w:r>
        <w:t>šifri 11</w:t>
      </w:r>
      <w:r w:rsidRPr="00B852EF">
        <w:t xml:space="preserve"> Novac u banci i blagajni obuhvaća novčana sredstva:</w:t>
      </w:r>
    </w:p>
    <w:p w14:paraId="49F41E4D" w14:textId="77777777" w:rsidR="00CF3957" w:rsidRPr="00B852EF" w:rsidRDefault="00CF3957" w:rsidP="00CF3957">
      <w:pPr>
        <w:jc w:val="both"/>
        <w:rPr>
          <w:b/>
          <w:sz w:val="20"/>
          <w:szCs w:val="20"/>
        </w:rPr>
      </w:pPr>
    </w:p>
    <w:p w14:paraId="353B5A99" w14:textId="77777777" w:rsidR="00CF3957" w:rsidRPr="00B852EF" w:rsidRDefault="00CF3957" w:rsidP="00CF3957">
      <w:pPr>
        <w:jc w:val="both"/>
        <w:rPr>
          <w:b/>
          <w:sz w:val="20"/>
          <w:szCs w:val="20"/>
        </w:rPr>
      </w:pPr>
      <w:r w:rsidRPr="00B852EF">
        <w:rPr>
          <w:b/>
          <w:sz w:val="20"/>
          <w:szCs w:val="20"/>
        </w:rPr>
        <w:t>Tablica 1.</w:t>
      </w:r>
    </w:p>
    <w:tbl>
      <w:tblPr>
        <w:tblW w:w="8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5231"/>
        <w:gridCol w:w="2111"/>
      </w:tblGrid>
      <w:tr w:rsidR="00CF3957" w:rsidRPr="00B852EF" w14:paraId="5F2AB42A" w14:textId="77777777" w:rsidTr="001E71E3">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F6544" w14:textId="77777777" w:rsidR="00CF3957" w:rsidRPr="00B852EF" w:rsidRDefault="00CF3957" w:rsidP="001E71E3">
            <w:pPr>
              <w:rPr>
                <w:b/>
                <w:bCs/>
                <w:sz w:val="20"/>
                <w:szCs w:val="20"/>
              </w:rPr>
            </w:pPr>
            <w:r w:rsidRPr="00B852EF">
              <w:rPr>
                <w:b/>
                <w:bCs/>
                <w:sz w:val="20"/>
                <w:szCs w:val="20"/>
              </w:rPr>
              <w:t> </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CB8B3" w14:textId="77777777" w:rsidR="00CF3957" w:rsidRPr="00B852EF" w:rsidRDefault="00CF3957" w:rsidP="001E71E3">
            <w:pPr>
              <w:rPr>
                <w:b/>
                <w:bCs/>
                <w:sz w:val="20"/>
                <w:szCs w:val="20"/>
              </w:rPr>
            </w:pPr>
            <w:r w:rsidRPr="00B852EF">
              <w:rPr>
                <w:b/>
                <w:bCs/>
                <w:sz w:val="20"/>
                <w:szCs w:val="20"/>
              </w:rPr>
              <w:t>NOVČANA SREDSTVA</w:t>
            </w:r>
          </w:p>
        </w:tc>
        <w:tc>
          <w:tcPr>
            <w:tcW w:w="2111" w:type="dxa"/>
            <w:tcBorders>
              <w:top w:val="single" w:sz="4" w:space="0" w:color="auto"/>
              <w:left w:val="single" w:sz="4" w:space="0" w:color="auto"/>
              <w:bottom w:val="single" w:sz="4" w:space="0" w:color="auto"/>
              <w:right w:val="single" w:sz="4" w:space="0" w:color="auto"/>
            </w:tcBorders>
            <w:vAlign w:val="center"/>
          </w:tcPr>
          <w:p w14:paraId="2B365A15" w14:textId="77777777" w:rsidR="00CF3957" w:rsidRPr="00B852EF" w:rsidRDefault="00CF3957" w:rsidP="001E71E3">
            <w:pPr>
              <w:jc w:val="right"/>
              <w:rPr>
                <w:b/>
                <w:sz w:val="20"/>
              </w:rPr>
            </w:pPr>
            <w:r>
              <w:rPr>
                <w:b/>
                <w:sz w:val="20"/>
              </w:rPr>
              <w:t>11.152.328.262,77</w:t>
            </w:r>
          </w:p>
        </w:tc>
      </w:tr>
      <w:tr w:rsidR="00CF3957" w:rsidRPr="00B852EF" w14:paraId="1934C2F4" w14:textId="77777777" w:rsidTr="001E71E3">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E959D" w14:textId="77777777" w:rsidR="00CF3957" w:rsidRPr="00B852EF" w:rsidRDefault="00CF3957" w:rsidP="001E71E3">
            <w:pPr>
              <w:jc w:val="right"/>
              <w:rPr>
                <w:sz w:val="20"/>
                <w:szCs w:val="20"/>
              </w:rPr>
            </w:pPr>
            <w:r w:rsidRPr="00B852EF">
              <w:rPr>
                <w:sz w:val="20"/>
                <w:szCs w:val="20"/>
              </w:rPr>
              <w:t>1111</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E6028" w14:textId="77777777" w:rsidR="00CF3957" w:rsidRPr="00B852EF" w:rsidRDefault="00CF3957" w:rsidP="001E71E3">
            <w:pPr>
              <w:rPr>
                <w:sz w:val="20"/>
                <w:szCs w:val="20"/>
              </w:rPr>
            </w:pPr>
            <w:r w:rsidRPr="00B852EF">
              <w:rPr>
                <w:sz w:val="20"/>
                <w:szCs w:val="20"/>
              </w:rPr>
              <w:t xml:space="preserve">Novac na žiro računu kod Hrvatske narodne banke </w:t>
            </w:r>
          </w:p>
        </w:tc>
        <w:tc>
          <w:tcPr>
            <w:tcW w:w="2111" w:type="dxa"/>
            <w:tcBorders>
              <w:top w:val="single" w:sz="4" w:space="0" w:color="auto"/>
              <w:left w:val="single" w:sz="4" w:space="0" w:color="auto"/>
              <w:bottom w:val="single" w:sz="4" w:space="0" w:color="auto"/>
              <w:right w:val="single" w:sz="4" w:space="0" w:color="auto"/>
            </w:tcBorders>
            <w:vAlign w:val="center"/>
          </w:tcPr>
          <w:p w14:paraId="694BBA3E" w14:textId="77777777" w:rsidR="00CF3957" w:rsidRPr="00B852EF" w:rsidRDefault="00CF3957" w:rsidP="001E71E3">
            <w:pPr>
              <w:jc w:val="right"/>
              <w:rPr>
                <w:sz w:val="20"/>
              </w:rPr>
            </w:pPr>
            <w:r>
              <w:rPr>
                <w:sz w:val="20"/>
              </w:rPr>
              <w:t>7.778.113.399,87</w:t>
            </w:r>
          </w:p>
        </w:tc>
      </w:tr>
      <w:tr w:rsidR="00CF3957" w:rsidRPr="00B852EF" w14:paraId="7569F19D" w14:textId="77777777" w:rsidTr="001E71E3">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7C9BC" w14:textId="77777777" w:rsidR="00CF3957" w:rsidRPr="00B852EF" w:rsidRDefault="00CF3957" w:rsidP="001E71E3">
            <w:pPr>
              <w:jc w:val="right"/>
              <w:rPr>
                <w:sz w:val="20"/>
                <w:szCs w:val="20"/>
              </w:rPr>
            </w:pPr>
            <w:r w:rsidRPr="00B852EF">
              <w:rPr>
                <w:sz w:val="20"/>
                <w:szCs w:val="20"/>
              </w:rPr>
              <w:t>1112</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2E286" w14:textId="77777777" w:rsidR="00CF3957" w:rsidRPr="00B852EF" w:rsidRDefault="00CF3957" w:rsidP="001E71E3">
            <w:pPr>
              <w:rPr>
                <w:sz w:val="20"/>
                <w:szCs w:val="20"/>
              </w:rPr>
            </w:pPr>
            <w:r w:rsidRPr="00B852EF">
              <w:rPr>
                <w:sz w:val="20"/>
                <w:szCs w:val="20"/>
              </w:rPr>
              <w:t>Novac na žiro računu kod tuzemnih poslovnih banaka</w:t>
            </w:r>
          </w:p>
        </w:tc>
        <w:tc>
          <w:tcPr>
            <w:tcW w:w="2111" w:type="dxa"/>
            <w:tcBorders>
              <w:top w:val="single" w:sz="4" w:space="0" w:color="auto"/>
              <w:left w:val="single" w:sz="4" w:space="0" w:color="auto"/>
              <w:bottom w:val="single" w:sz="4" w:space="0" w:color="auto"/>
              <w:right w:val="single" w:sz="4" w:space="0" w:color="auto"/>
            </w:tcBorders>
            <w:vAlign w:val="center"/>
          </w:tcPr>
          <w:p w14:paraId="5769157B" w14:textId="77777777" w:rsidR="00CF3957" w:rsidRPr="00B852EF" w:rsidRDefault="00CF3957" w:rsidP="001E71E3">
            <w:pPr>
              <w:jc w:val="right"/>
              <w:rPr>
                <w:sz w:val="20"/>
              </w:rPr>
            </w:pPr>
            <w:r>
              <w:rPr>
                <w:sz w:val="20"/>
              </w:rPr>
              <w:t>3.246.453.409,62</w:t>
            </w:r>
          </w:p>
        </w:tc>
      </w:tr>
      <w:tr w:rsidR="00CF3957" w:rsidRPr="00B852EF" w14:paraId="44EB6E9A" w14:textId="77777777" w:rsidTr="001E71E3">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6FD62" w14:textId="77777777" w:rsidR="00CF3957" w:rsidRPr="00B852EF" w:rsidRDefault="00CF3957" w:rsidP="001E71E3">
            <w:pPr>
              <w:jc w:val="right"/>
              <w:rPr>
                <w:sz w:val="20"/>
                <w:szCs w:val="20"/>
              </w:rPr>
            </w:pPr>
            <w:r w:rsidRPr="00B852EF">
              <w:rPr>
                <w:sz w:val="20"/>
                <w:szCs w:val="20"/>
              </w:rPr>
              <w:t>1113</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3816E" w14:textId="77777777" w:rsidR="00CF3957" w:rsidRPr="00B852EF" w:rsidRDefault="00CF3957" w:rsidP="001E71E3">
            <w:pPr>
              <w:rPr>
                <w:sz w:val="20"/>
                <w:szCs w:val="20"/>
              </w:rPr>
            </w:pPr>
            <w:r w:rsidRPr="00B852EF">
              <w:rPr>
                <w:sz w:val="20"/>
                <w:szCs w:val="20"/>
              </w:rPr>
              <w:t>Novac na računu kod inozemnih poslovnih banaka</w:t>
            </w:r>
          </w:p>
        </w:tc>
        <w:tc>
          <w:tcPr>
            <w:tcW w:w="2111" w:type="dxa"/>
            <w:tcBorders>
              <w:top w:val="single" w:sz="4" w:space="0" w:color="auto"/>
              <w:left w:val="single" w:sz="4" w:space="0" w:color="auto"/>
              <w:bottom w:val="single" w:sz="4" w:space="0" w:color="auto"/>
              <w:right w:val="single" w:sz="4" w:space="0" w:color="auto"/>
            </w:tcBorders>
            <w:vAlign w:val="center"/>
          </w:tcPr>
          <w:p w14:paraId="055910F0" w14:textId="77777777" w:rsidR="00CF3957" w:rsidRPr="00B852EF" w:rsidRDefault="00CF3957" w:rsidP="001E71E3">
            <w:pPr>
              <w:jc w:val="right"/>
              <w:rPr>
                <w:sz w:val="20"/>
              </w:rPr>
            </w:pPr>
            <w:r>
              <w:rPr>
                <w:sz w:val="20"/>
              </w:rPr>
              <w:t>593,34</w:t>
            </w:r>
          </w:p>
        </w:tc>
      </w:tr>
      <w:tr w:rsidR="00CF3957" w:rsidRPr="00B852EF" w14:paraId="12066715" w14:textId="77777777" w:rsidTr="001E71E3">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ED241" w14:textId="77777777" w:rsidR="00CF3957" w:rsidRPr="00B852EF" w:rsidRDefault="00CF3957" w:rsidP="001E71E3">
            <w:pPr>
              <w:jc w:val="right"/>
              <w:rPr>
                <w:sz w:val="20"/>
                <w:szCs w:val="20"/>
              </w:rPr>
            </w:pPr>
            <w:r w:rsidRPr="00B852EF">
              <w:rPr>
                <w:sz w:val="20"/>
                <w:szCs w:val="20"/>
              </w:rPr>
              <w:t>112</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4C5F4" w14:textId="77777777" w:rsidR="00CF3957" w:rsidRPr="00B852EF" w:rsidRDefault="00CF3957" w:rsidP="001E71E3">
            <w:pPr>
              <w:rPr>
                <w:sz w:val="20"/>
                <w:szCs w:val="20"/>
              </w:rPr>
            </w:pPr>
            <w:r w:rsidRPr="00B852EF">
              <w:rPr>
                <w:sz w:val="20"/>
                <w:szCs w:val="20"/>
              </w:rPr>
              <w:t>Izdvojena novčana sredstva</w:t>
            </w:r>
          </w:p>
        </w:tc>
        <w:tc>
          <w:tcPr>
            <w:tcW w:w="2111" w:type="dxa"/>
            <w:tcBorders>
              <w:top w:val="single" w:sz="4" w:space="0" w:color="auto"/>
              <w:left w:val="single" w:sz="4" w:space="0" w:color="auto"/>
              <w:bottom w:val="single" w:sz="4" w:space="0" w:color="auto"/>
              <w:right w:val="single" w:sz="4" w:space="0" w:color="auto"/>
            </w:tcBorders>
            <w:vAlign w:val="center"/>
          </w:tcPr>
          <w:p w14:paraId="25BB0047" w14:textId="77777777" w:rsidR="00CF3957" w:rsidRPr="00B852EF" w:rsidRDefault="00CF3957" w:rsidP="001E71E3">
            <w:pPr>
              <w:jc w:val="right"/>
              <w:rPr>
                <w:sz w:val="20"/>
              </w:rPr>
            </w:pPr>
            <w:r>
              <w:rPr>
                <w:sz w:val="20"/>
              </w:rPr>
              <w:t>127.760.859,94</w:t>
            </w:r>
          </w:p>
        </w:tc>
      </w:tr>
    </w:tbl>
    <w:p w14:paraId="1AAD4874" w14:textId="77777777" w:rsidR="00CF3957" w:rsidRPr="00B852EF" w:rsidRDefault="00CF3957" w:rsidP="00CF3957">
      <w:pPr>
        <w:jc w:val="both"/>
        <w:rPr>
          <w:b/>
          <w:sz w:val="20"/>
          <w:szCs w:val="20"/>
        </w:rPr>
      </w:pPr>
    </w:p>
    <w:p w14:paraId="04C149FC" w14:textId="77777777" w:rsidR="00CF3957" w:rsidRPr="00B852EF" w:rsidRDefault="00CF3957" w:rsidP="00CF3957">
      <w:pPr>
        <w:jc w:val="both"/>
        <w:rPr>
          <w:b/>
          <w:sz w:val="20"/>
          <w:szCs w:val="20"/>
        </w:rPr>
      </w:pPr>
    </w:p>
    <w:p w14:paraId="063FF2BC" w14:textId="77777777" w:rsidR="00CF3957" w:rsidRPr="00B852EF" w:rsidRDefault="00CF3957" w:rsidP="00CF3957">
      <w:pPr>
        <w:jc w:val="center"/>
        <w:rPr>
          <w:sz w:val="28"/>
        </w:rPr>
      </w:pPr>
      <w:r w:rsidRPr="00B852EF">
        <w:rPr>
          <w:sz w:val="28"/>
        </w:rPr>
        <w:t>Bilješka 3.</w:t>
      </w:r>
    </w:p>
    <w:p w14:paraId="5E4FD3E3" w14:textId="77777777" w:rsidR="00CF3957" w:rsidRPr="00B852EF" w:rsidRDefault="00CF3957" w:rsidP="00CF3957">
      <w:pPr>
        <w:keepNext/>
        <w:jc w:val="center"/>
        <w:rPr>
          <w:sz w:val="28"/>
        </w:rPr>
      </w:pPr>
      <w:r>
        <w:rPr>
          <w:bCs/>
          <w:sz w:val="28"/>
        </w:rPr>
        <w:t xml:space="preserve">Šifra 121 </w:t>
      </w:r>
      <w:r w:rsidRPr="00B852EF">
        <w:rPr>
          <w:sz w:val="28"/>
        </w:rPr>
        <w:t>Depoziti u kreditnim i ostalim financijskim institucijama</w:t>
      </w:r>
    </w:p>
    <w:p w14:paraId="37809125" w14:textId="77777777" w:rsidR="00CF3957" w:rsidRDefault="00CF3957" w:rsidP="00CF3957">
      <w:pPr>
        <w:keepNext/>
        <w:jc w:val="both"/>
      </w:pPr>
    </w:p>
    <w:p w14:paraId="5A4CFE93" w14:textId="77777777" w:rsidR="00CF3957" w:rsidRDefault="00CF3957" w:rsidP="00CF3957">
      <w:pPr>
        <w:keepNext/>
        <w:jc w:val="both"/>
      </w:pPr>
      <w:r>
        <w:t>Na dan 31. prosinca 2022. stanje depozita</w:t>
      </w:r>
      <w:r w:rsidRPr="001960E0">
        <w:t xml:space="preserve"> u kreditnim i ostalim financijskim institucijama </w:t>
      </w:r>
      <w:r>
        <w:t>iznosi</w:t>
      </w:r>
      <w:r w:rsidRPr="00B852EF">
        <w:t xml:space="preserve"> </w:t>
      </w:r>
      <w:r w:rsidRPr="007F4E60">
        <w:t>10.548.300</w:t>
      </w:r>
      <w:r>
        <w:t>.000</w:t>
      </w:r>
      <w:r w:rsidRPr="007F4E60">
        <w:t>,00</w:t>
      </w:r>
      <w:r>
        <w:t xml:space="preserve"> </w:t>
      </w:r>
      <w:r w:rsidRPr="00B852EF">
        <w:rPr>
          <w:bCs/>
        </w:rPr>
        <w:t>kuna</w:t>
      </w:r>
      <w:r>
        <w:t>, a</w:t>
      </w:r>
      <w:r w:rsidRPr="00B852EF">
        <w:t xml:space="preserve"> odnosi se na kratkoročno oročeni depozit</w:t>
      </w:r>
      <w:r>
        <w:t xml:space="preserve"> krajem prosinca 2022. </w:t>
      </w:r>
      <w:r w:rsidRPr="00B852EF">
        <w:t xml:space="preserve">do </w:t>
      </w:r>
      <w:r>
        <w:t>5</w:t>
      </w:r>
      <w:r w:rsidRPr="00B852EF">
        <w:t>. siječnja 202</w:t>
      </w:r>
      <w:r>
        <w:t>3</w:t>
      </w:r>
      <w:r w:rsidRPr="00B852EF">
        <w:t>.</w:t>
      </w:r>
      <w:r>
        <w:t xml:space="preserve"> godine</w:t>
      </w:r>
      <w:r w:rsidRPr="00B852EF">
        <w:t xml:space="preserve"> kod Hrvatske narodne banke.</w:t>
      </w:r>
    </w:p>
    <w:p w14:paraId="56CF27D7" w14:textId="77777777" w:rsidR="00CF3957" w:rsidRDefault="00CF3957" w:rsidP="00CF3957">
      <w:pPr>
        <w:keepNext/>
        <w:jc w:val="both"/>
      </w:pPr>
    </w:p>
    <w:p w14:paraId="64384629" w14:textId="77777777" w:rsidR="00CF3957" w:rsidRPr="008824B5" w:rsidRDefault="00CF3957" w:rsidP="00CF3957">
      <w:pPr>
        <w:jc w:val="center"/>
        <w:rPr>
          <w:sz w:val="28"/>
        </w:rPr>
      </w:pPr>
      <w:r w:rsidRPr="008824B5">
        <w:rPr>
          <w:sz w:val="28"/>
        </w:rPr>
        <w:t>Bilješka</w:t>
      </w:r>
      <w:r>
        <w:rPr>
          <w:sz w:val="28"/>
        </w:rPr>
        <w:t xml:space="preserve"> 4.</w:t>
      </w:r>
    </w:p>
    <w:p w14:paraId="5DE871AD" w14:textId="77777777" w:rsidR="00CF3957" w:rsidRDefault="00CF3957" w:rsidP="00CF3957">
      <w:pPr>
        <w:jc w:val="center"/>
        <w:rPr>
          <w:sz w:val="28"/>
        </w:rPr>
      </w:pPr>
      <w:r w:rsidRPr="008824B5">
        <w:rPr>
          <w:sz w:val="28"/>
        </w:rPr>
        <w:t xml:space="preserve">Šifra 122 </w:t>
      </w:r>
      <w:proofErr w:type="spellStart"/>
      <w:r w:rsidRPr="008824B5">
        <w:rPr>
          <w:sz w:val="28"/>
        </w:rPr>
        <w:t>Jamčevni</w:t>
      </w:r>
      <w:proofErr w:type="spellEnd"/>
      <w:r w:rsidRPr="008824B5">
        <w:rPr>
          <w:sz w:val="28"/>
        </w:rPr>
        <w:t xml:space="preserve"> </w:t>
      </w:r>
      <w:proofErr w:type="spellStart"/>
      <w:r w:rsidRPr="008824B5">
        <w:rPr>
          <w:sz w:val="28"/>
        </w:rPr>
        <w:t>polozi</w:t>
      </w:r>
      <w:proofErr w:type="spellEnd"/>
    </w:p>
    <w:p w14:paraId="395DF16F" w14:textId="77777777" w:rsidR="00CF3957" w:rsidRDefault="00CF3957" w:rsidP="00CF3957">
      <w:pPr>
        <w:jc w:val="center"/>
        <w:rPr>
          <w:sz w:val="28"/>
        </w:rPr>
      </w:pPr>
    </w:p>
    <w:p w14:paraId="64040544" w14:textId="77777777" w:rsidR="00CF3957" w:rsidRDefault="00CF3957" w:rsidP="00CF3957">
      <w:pPr>
        <w:keepNext/>
        <w:jc w:val="both"/>
      </w:pPr>
      <w:r>
        <w:t xml:space="preserve">Na dan 31. prosinca 2022. stanje </w:t>
      </w:r>
      <w:proofErr w:type="spellStart"/>
      <w:r>
        <w:t>jamčevnih</w:t>
      </w:r>
      <w:proofErr w:type="spellEnd"/>
      <w:r>
        <w:t xml:space="preserve"> pologa iznosi 0,00 kuna. Početno stanje na dan 1. siječnja 2022. iznosilo je 6.252.000,00 kuna, a odnosilo se na potraživanje za </w:t>
      </w:r>
      <w:proofErr w:type="spellStart"/>
      <w:r>
        <w:t>jamčevni</w:t>
      </w:r>
      <w:proofErr w:type="spellEnd"/>
      <w:r>
        <w:t xml:space="preserve"> polog na </w:t>
      </w:r>
      <w:r w:rsidRPr="008824B5">
        <w:t xml:space="preserve">četvrtoj elektroničkoj javnoj dražbi </w:t>
      </w:r>
      <w:r>
        <w:t xml:space="preserve">u stečajnom postupku nad dužnikom OLT d.o.o. u stečaju. U navedenom stečajnom postupku Ministarstvo financija, Porezna uprava prijavila je tražbinu u iznosu od 17.008.934,72 kuna, a imala je uknjiženo založno pravo prvog reda radi osiguranja novčane tražbine u iznosu od 9.913.018,74 kuna zajedno sa pripadajućim zakonskim zateznim kamatama, na nekretninama upisanim u zemljišne knjige Općinskog suda u Osijeku, </w:t>
      </w:r>
      <w:r>
        <w:lastRenderedPageBreak/>
        <w:t xml:space="preserve">Zemljišnoknjižni odjel Osijek, </w:t>
      </w:r>
      <w:proofErr w:type="spellStart"/>
      <w:r>
        <w:t>k.o</w:t>
      </w:r>
      <w:proofErr w:type="spellEnd"/>
      <w:r>
        <w:t xml:space="preserve">: Osijek: </w:t>
      </w:r>
      <w:proofErr w:type="spellStart"/>
      <w:r>
        <w:t>zk</w:t>
      </w:r>
      <w:proofErr w:type="spellEnd"/>
      <w:r>
        <w:t xml:space="preserve">. </w:t>
      </w:r>
      <w:proofErr w:type="spellStart"/>
      <w:r>
        <w:t>ul</w:t>
      </w:r>
      <w:proofErr w:type="spellEnd"/>
      <w:r>
        <w:t xml:space="preserve"> .br.: 15976, </w:t>
      </w:r>
      <w:proofErr w:type="spellStart"/>
      <w:r>
        <w:t>kč</w:t>
      </w:r>
      <w:proofErr w:type="spellEnd"/>
      <w:r>
        <w:t xml:space="preserve">. br. 6656/1, </w:t>
      </w:r>
      <w:proofErr w:type="spellStart"/>
      <w:r>
        <w:t>kč</w:t>
      </w:r>
      <w:proofErr w:type="spellEnd"/>
      <w:r>
        <w:t xml:space="preserve">. br. 6656/3 i </w:t>
      </w:r>
      <w:proofErr w:type="spellStart"/>
      <w:r>
        <w:t>kč</w:t>
      </w:r>
      <w:proofErr w:type="spellEnd"/>
      <w:r>
        <w:t xml:space="preserve">. br. 6656/4, koje u naravi predstavljaju 4 zgrade i dvor, 8 zgrada i dvor i 10 zgrada u dvor ukupne površine 59046 m2. Zaključkom Trgovačkog suda u Osijeku, broj 13 St-1532/15-75 od 22. prosinca 2017. godine, utvrđena je vrijednost nekretnina u iznosu od 62.520.000,00 kuna. </w:t>
      </w:r>
      <w:r w:rsidRPr="008824B5">
        <w:t xml:space="preserve">Na četvrtoj elektroničkoj javnoj dražbi Ministarstvo financija, Porezna uprava i Ministarstvo državne imovine (Državne nekretnine d.o.o.) </w:t>
      </w:r>
      <w:proofErr w:type="spellStart"/>
      <w:r w:rsidRPr="008824B5">
        <w:t>izlicitirale</w:t>
      </w:r>
      <w:proofErr w:type="spellEnd"/>
      <w:r>
        <w:t xml:space="preserve"> su</w:t>
      </w:r>
      <w:r w:rsidRPr="008824B5">
        <w:t xml:space="preserve"> iznos u visini </w:t>
      </w:r>
      <w:proofErr w:type="spellStart"/>
      <w:r w:rsidRPr="008824B5">
        <w:t>razlučnog</w:t>
      </w:r>
      <w:proofErr w:type="spellEnd"/>
      <w:r w:rsidRPr="008824B5">
        <w:t xml:space="preserve"> prava Minista</w:t>
      </w:r>
      <w:r>
        <w:t>rstva financija, Porezne uprave, za što je prethodno uplaćena jamčevina s računa državnog proračuna tereteći glavu 06 Ministarstva financija.</w:t>
      </w:r>
    </w:p>
    <w:p w14:paraId="094AE8A9" w14:textId="77777777" w:rsidR="00CF3957" w:rsidRDefault="00CF3957" w:rsidP="00CF3957">
      <w:pPr>
        <w:keepNext/>
        <w:jc w:val="both"/>
      </w:pPr>
    </w:p>
    <w:p w14:paraId="19CC3E8A" w14:textId="77777777" w:rsidR="00CF3957" w:rsidRDefault="00CF3957" w:rsidP="00CF3957">
      <w:pPr>
        <w:keepNext/>
        <w:jc w:val="both"/>
      </w:pPr>
      <w:r w:rsidRPr="005B2568">
        <w:t xml:space="preserve">Rješenjem Trgovačkog suda u Osijeku, </w:t>
      </w:r>
      <w:proofErr w:type="spellStart"/>
      <w:r w:rsidRPr="005B2568">
        <w:t>posl.broj</w:t>
      </w:r>
      <w:proofErr w:type="spellEnd"/>
      <w:r w:rsidRPr="005B2568">
        <w:t xml:space="preserve">: 13 St-1532/15-88 od 14. siječnja 2019. godine, nekretnine koje su bile predmet elektroničke javne dražbe, ukupne površine 59.046 m2, dosuđene su kupcu Ministarstvu financija, Poreznoj upravi za </w:t>
      </w:r>
      <w:proofErr w:type="spellStart"/>
      <w:r w:rsidRPr="005B2568">
        <w:t>kupovninu</w:t>
      </w:r>
      <w:proofErr w:type="spellEnd"/>
      <w:r w:rsidRPr="005B2568">
        <w:t xml:space="preserve"> u iznosu od 9.910.001,00 kuna.</w:t>
      </w:r>
      <w:r>
        <w:t xml:space="preserve"> U 2022. godini zatvorena su potraživanja za </w:t>
      </w:r>
      <w:proofErr w:type="spellStart"/>
      <w:r>
        <w:t>jamčevne</w:t>
      </w:r>
      <w:proofErr w:type="spellEnd"/>
      <w:r>
        <w:t xml:space="preserve"> </w:t>
      </w:r>
      <w:proofErr w:type="spellStart"/>
      <w:r>
        <w:t>pologe</w:t>
      </w:r>
      <w:proofErr w:type="spellEnd"/>
      <w:r>
        <w:t xml:space="preserve"> koje je Ministarstvo financija imalo prema Poreznoj upravi usklađenjem knjigovodstvenih evidencija glave 06 Ministarstva financija i  Porezne uprave.</w:t>
      </w:r>
    </w:p>
    <w:p w14:paraId="4B87EEE0" w14:textId="77777777" w:rsidR="00CF3957" w:rsidRPr="008824B5" w:rsidRDefault="00CF3957" w:rsidP="00CF3957">
      <w:pPr>
        <w:keepNext/>
        <w:jc w:val="both"/>
      </w:pPr>
    </w:p>
    <w:p w14:paraId="38E3F0CD" w14:textId="77777777" w:rsidR="00CF3957" w:rsidRPr="00B852EF" w:rsidRDefault="00CF3957" w:rsidP="00CF3957">
      <w:pPr>
        <w:keepNext/>
        <w:jc w:val="center"/>
        <w:rPr>
          <w:sz w:val="28"/>
        </w:rPr>
      </w:pPr>
      <w:r>
        <w:rPr>
          <w:sz w:val="28"/>
        </w:rPr>
        <w:t xml:space="preserve">Bilješka 5. </w:t>
      </w:r>
    </w:p>
    <w:p w14:paraId="1B99B1C1" w14:textId="77777777" w:rsidR="00CF3957" w:rsidRPr="00B852EF" w:rsidRDefault="00CF3957" w:rsidP="00CF3957">
      <w:pPr>
        <w:keepNext/>
        <w:jc w:val="center"/>
        <w:rPr>
          <w:sz w:val="28"/>
        </w:rPr>
      </w:pPr>
      <w:r>
        <w:rPr>
          <w:bCs/>
          <w:sz w:val="28"/>
        </w:rPr>
        <w:t xml:space="preserve">Šifra 129 </w:t>
      </w:r>
      <w:r w:rsidRPr="00B852EF">
        <w:rPr>
          <w:sz w:val="28"/>
        </w:rPr>
        <w:t>Ostala potraživanja</w:t>
      </w:r>
    </w:p>
    <w:p w14:paraId="72450550" w14:textId="77777777" w:rsidR="00CF3957" w:rsidRDefault="00CF3957" w:rsidP="00CF3957">
      <w:pPr>
        <w:jc w:val="both"/>
      </w:pPr>
    </w:p>
    <w:p w14:paraId="5CE9C3D9" w14:textId="77777777" w:rsidR="00CF3957" w:rsidRPr="00B852EF" w:rsidRDefault="00CF3957" w:rsidP="00CF3957">
      <w:pPr>
        <w:jc w:val="both"/>
      </w:pPr>
      <w:r w:rsidRPr="00B852EF">
        <w:t xml:space="preserve">Ostala potraživanja </w:t>
      </w:r>
      <w:r>
        <w:t>na dan 31. prosinca 2022.</w:t>
      </w:r>
      <w:r w:rsidRPr="00B852EF">
        <w:t xml:space="preserve"> </w:t>
      </w:r>
      <w:r>
        <w:t>godine evidentirana</w:t>
      </w:r>
      <w:r w:rsidRPr="00B852EF">
        <w:t xml:space="preserve"> su u iznosu od </w:t>
      </w:r>
      <w:r>
        <w:t>454.118.903,66</w:t>
      </w:r>
      <w:r w:rsidRPr="00B852EF">
        <w:t xml:space="preserve"> kuna</w:t>
      </w:r>
      <w:r>
        <w:t>.</w:t>
      </w:r>
      <w:r w:rsidRPr="00B852EF">
        <w:t xml:space="preserve"> </w:t>
      </w:r>
    </w:p>
    <w:p w14:paraId="0F0B4A5B" w14:textId="77777777" w:rsidR="00CF3957" w:rsidRDefault="00CF3957" w:rsidP="00CF3957">
      <w:pPr>
        <w:spacing w:before="120" w:after="120"/>
        <w:jc w:val="both"/>
      </w:pPr>
      <w:r w:rsidRPr="00B852EF">
        <w:t xml:space="preserve">U iznosu od </w:t>
      </w:r>
      <w:r>
        <w:t>454.118.903,66</w:t>
      </w:r>
      <w:r w:rsidRPr="00B852EF">
        <w:t xml:space="preserve"> </w:t>
      </w:r>
      <w:r w:rsidRPr="00B852EF">
        <w:rPr>
          <w:bCs/>
        </w:rPr>
        <w:t>kuna</w:t>
      </w:r>
      <w:r w:rsidRPr="00B852EF">
        <w:t xml:space="preserve"> najznačajnije je potraživanje za naknade</w:t>
      </w:r>
      <w:r>
        <w:t xml:space="preserve"> plaće za</w:t>
      </w:r>
      <w:r w:rsidRPr="00B852EF">
        <w:t xml:space="preserve"> bolovanja na teret HZZO–a u iznosu od </w:t>
      </w:r>
      <w:r>
        <w:t>409.050.066,34 kuna</w:t>
      </w:r>
      <w:r w:rsidRPr="00B852EF">
        <w:t xml:space="preserve">. Od ukupnog iznosa potraživanje za naknade </w:t>
      </w:r>
      <w:r>
        <w:t xml:space="preserve">plaće za </w:t>
      </w:r>
      <w:r w:rsidRPr="00B852EF">
        <w:t xml:space="preserve">bolovanja na teret HZZO–a </w:t>
      </w:r>
      <w:r>
        <w:t>350.857.840,61</w:t>
      </w:r>
      <w:r w:rsidRPr="00B852EF">
        <w:t xml:space="preserve"> </w:t>
      </w:r>
      <w:r w:rsidRPr="00B852EF">
        <w:rPr>
          <w:bCs/>
        </w:rPr>
        <w:t>kuna</w:t>
      </w:r>
      <w:r w:rsidRPr="00B852EF">
        <w:t xml:space="preserve"> odnosi se na potraživanja </w:t>
      </w:r>
      <w:r>
        <w:t xml:space="preserve">za naknade plaće </w:t>
      </w:r>
      <w:r w:rsidRPr="00B852EF">
        <w:t xml:space="preserve">za bolovanje iznad 42 dana, a </w:t>
      </w:r>
      <w:r>
        <w:t>58.192.225,73</w:t>
      </w:r>
      <w:r w:rsidRPr="00B852EF">
        <w:t xml:space="preserve"> </w:t>
      </w:r>
      <w:r w:rsidRPr="00B852EF">
        <w:rPr>
          <w:bCs/>
        </w:rPr>
        <w:t>kune</w:t>
      </w:r>
      <w:r w:rsidRPr="00B852EF">
        <w:t xml:space="preserve"> za bolovanje za ozljede na radu. Radi se o potraživanjima za naknadu </w:t>
      </w:r>
      <w:r>
        <w:t xml:space="preserve">plaće za </w:t>
      </w:r>
      <w:r w:rsidRPr="00B852EF">
        <w:t>bolovanja zaposlenih kojima se plaće isplaćuju iz državnog proračuna.</w:t>
      </w:r>
    </w:p>
    <w:p w14:paraId="3F303576" w14:textId="77777777" w:rsidR="00CF3957" w:rsidRPr="003B30B6" w:rsidRDefault="00CF3957" w:rsidP="00CF3957">
      <w:pPr>
        <w:jc w:val="both"/>
      </w:pPr>
    </w:p>
    <w:p w14:paraId="377FD6BF" w14:textId="77777777" w:rsidR="00CF3957" w:rsidRPr="00B852EF" w:rsidRDefault="00CF3957" w:rsidP="00CF3957">
      <w:pPr>
        <w:keepNext/>
        <w:jc w:val="center"/>
        <w:rPr>
          <w:sz w:val="28"/>
        </w:rPr>
      </w:pPr>
      <w:r>
        <w:rPr>
          <w:sz w:val="28"/>
        </w:rPr>
        <w:t>Bilješka 6</w:t>
      </w:r>
      <w:r w:rsidRPr="00B852EF">
        <w:rPr>
          <w:sz w:val="28"/>
        </w:rPr>
        <w:t>.</w:t>
      </w:r>
    </w:p>
    <w:p w14:paraId="3E5E1FEC" w14:textId="77777777" w:rsidR="00CF3957" w:rsidRPr="00B852EF" w:rsidRDefault="00CF3957" w:rsidP="00CF3957">
      <w:pPr>
        <w:keepNext/>
        <w:jc w:val="center"/>
        <w:rPr>
          <w:sz w:val="28"/>
        </w:rPr>
      </w:pPr>
      <w:r>
        <w:rPr>
          <w:sz w:val="28"/>
        </w:rPr>
        <w:t>Šifra 1332</w:t>
      </w:r>
      <w:r w:rsidRPr="00B852EF">
        <w:rPr>
          <w:sz w:val="28"/>
        </w:rPr>
        <w:t xml:space="preserve"> Zajmovi kreditnim institucijama u javnom sektoru</w:t>
      </w:r>
    </w:p>
    <w:p w14:paraId="3BFB85F7" w14:textId="77777777" w:rsidR="00CF3957" w:rsidRDefault="00CF3957" w:rsidP="00CF3957">
      <w:pPr>
        <w:jc w:val="both"/>
      </w:pPr>
    </w:p>
    <w:p w14:paraId="3B4F176B" w14:textId="77777777" w:rsidR="00CF3957" w:rsidRDefault="00CF3957" w:rsidP="00CF3957">
      <w:pPr>
        <w:spacing w:before="120" w:after="120"/>
        <w:jc w:val="both"/>
      </w:pPr>
      <w:r>
        <w:t>Potraživanja za dane</w:t>
      </w:r>
      <w:r w:rsidRPr="00262914">
        <w:t xml:space="preserve"> </w:t>
      </w:r>
      <w:r>
        <w:t xml:space="preserve">zajmove </w:t>
      </w:r>
      <w:r w:rsidRPr="00262914">
        <w:t>kreditnim institucijama u javnom sektoru</w:t>
      </w:r>
      <w:r>
        <w:t xml:space="preserve"> na 31. prosinca 2022. iznosila su 2.500.000.000,00 kuna i veća su za 1.000.000.000,00 kuna u odnosu na stanje na 31. prosinca 2021. godine. Naime, </w:t>
      </w:r>
      <w:r w:rsidRPr="001827BD">
        <w:t xml:space="preserve">Republika Hrvatska - Ministarstvo financija i HBOR zaključili su dana 26. lipnja 2020. </w:t>
      </w:r>
      <w:r>
        <w:t xml:space="preserve">godine </w:t>
      </w:r>
      <w:r w:rsidRPr="001827BD">
        <w:t xml:space="preserve">Ugovor o zajmu broj: 1/2020 na iznos od 3.000.000.000,00 </w:t>
      </w:r>
      <w:r w:rsidRPr="001827BD">
        <w:rPr>
          <w:bCs/>
        </w:rPr>
        <w:t>kuna</w:t>
      </w:r>
      <w:r w:rsidRPr="001827BD">
        <w:t xml:space="preserve"> </w:t>
      </w:r>
      <w:r>
        <w:t xml:space="preserve">s </w:t>
      </w:r>
      <w:r w:rsidRPr="001827BD">
        <w:t xml:space="preserve">rokovima isplate do 1. srpnja 2020. </w:t>
      </w:r>
      <w:r>
        <w:t xml:space="preserve">godine </w:t>
      </w:r>
      <w:r w:rsidRPr="001827BD">
        <w:t xml:space="preserve">u iznosu od 1.500.000.000,00 </w:t>
      </w:r>
      <w:r w:rsidRPr="001827BD">
        <w:rPr>
          <w:bCs/>
        </w:rPr>
        <w:t>kuna</w:t>
      </w:r>
      <w:r w:rsidRPr="001827BD">
        <w:t xml:space="preserve"> i do 15. prosinca 2020.</w:t>
      </w:r>
      <w:r>
        <w:t xml:space="preserve"> godine</w:t>
      </w:r>
      <w:r w:rsidRPr="001827BD">
        <w:t xml:space="preserve"> u iznosu od 1.500.000.000,00 </w:t>
      </w:r>
      <w:r w:rsidRPr="001827BD">
        <w:rPr>
          <w:bCs/>
        </w:rPr>
        <w:t>kuna</w:t>
      </w:r>
      <w:r w:rsidRPr="001827BD">
        <w:t xml:space="preserve"> s rokom otplate 15. prosinca 2023.</w:t>
      </w:r>
      <w:r>
        <w:t xml:space="preserve"> godine</w:t>
      </w:r>
      <w:r w:rsidRPr="001827BD">
        <w:t xml:space="preserve"> Ovaj Ugovor je realiziran samo djelomično, naime 1. srpnja 2020. </w:t>
      </w:r>
      <w:r>
        <w:t xml:space="preserve">godine </w:t>
      </w:r>
      <w:r w:rsidRPr="001827BD">
        <w:t xml:space="preserve">realizirana je prva isplata zajma u iznosu od 1.500.000.000,00 </w:t>
      </w:r>
      <w:r w:rsidRPr="001827BD">
        <w:rPr>
          <w:bCs/>
        </w:rPr>
        <w:t>kuna.</w:t>
      </w:r>
      <w:r w:rsidRPr="001827BD">
        <w:t xml:space="preserve"> S obzirom da HBOR tijekom 2020. </w:t>
      </w:r>
      <w:r>
        <w:t xml:space="preserve">godine </w:t>
      </w:r>
      <w:r w:rsidRPr="001827BD">
        <w:t>nije imao potrebu za dodatnim sredstvima za osiguranje likvidnosti, d</w:t>
      </w:r>
      <w:r>
        <w:t xml:space="preserve">odatkom </w:t>
      </w:r>
      <w:r w:rsidRPr="001827BD">
        <w:t xml:space="preserve">I. Ugovoru o zajmu broj 1/2020 od 4. veljače 2021. </w:t>
      </w:r>
      <w:r>
        <w:t xml:space="preserve">godine </w:t>
      </w:r>
      <w:r w:rsidRPr="001827BD">
        <w:t xml:space="preserve">ugovoreni iznos zajma umanjuje se na 1.500.000.000,00 </w:t>
      </w:r>
      <w:r w:rsidRPr="001827BD">
        <w:rPr>
          <w:bCs/>
        </w:rPr>
        <w:t>kuna</w:t>
      </w:r>
      <w:r w:rsidRPr="001827BD">
        <w:t>.</w:t>
      </w:r>
    </w:p>
    <w:p w14:paraId="644230AC" w14:textId="77777777" w:rsidR="00CF3957" w:rsidRPr="00B852EF" w:rsidRDefault="00CF3957" w:rsidP="00CF3957">
      <w:pPr>
        <w:spacing w:before="120" w:after="120"/>
        <w:jc w:val="both"/>
      </w:pPr>
      <w:r>
        <w:t xml:space="preserve">Dodatno, Republika Hrvatska </w:t>
      </w:r>
      <w:r w:rsidRPr="00393DEE">
        <w:t xml:space="preserve">- Ministarstvo financija i HBOR zaključili su dana </w:t>
      </w:r>
      <w:r>
        <w:t>14</w:t>
      </w:r>
      <w:r w:rsidRPr="00393DEE">
        <w:t xml:space="preserve">. </w:t>
      </w:r>
      <w:r>
        <w:t>listopada</w:t>
      </w:r>
      <w:r w:rsidRPr="00393DEE">
        <w:t xml:space="preserve"> 202</w:t>
      </w:r>
      <w:r>
        <w:t>2</w:t>
      </w:r>
      <w:r w:rsidRPr="00393DEE">
        <w:t xml:space="preserve">. </w:t>
      </w:r>
      <w:r>
        <w:t xml:space="preserve">godine </w:t>
      </w:r>
      <w:r w:rsidRPr="00393DEE">
        <w:t>Ugovor o zajmu broj: 1/202</w:t>
      </w:r>
      <w:r>
        <w:t>2</w:t>
      </w:r>
      <w:r w:rsidRPr="00393DEE">
        <w:t xml:space="preserve"> na iznos od </w:t>
      </w:r>
      <w:r>
        <w:t>1</w:t>
      </w:r>
      <w:r w:rsidRPr="00393DEE">
        <w:t>.000.000.000,00 kuna</w:t>
      </w:r>
      <w:r>
        <w:t xml:space="preserve"> s</w:t>
      </w:r>
      <w:r w:rsidRPr="00393DEE">
        <w:t xml:space="preserve"> </w:t>
      </w:r>
      <w:r>
        <w:t>datumom</w:t>
      </w:r>
      <w:r w:rsidRPr="00393DEE">
        <w:t xml:space="preserve"> isplate </w:t>
      </w:r>
      <w:r>
        <w:t>30</w:t>
      </w:r>
      <w:r w:rsidRPr="00393DEE">
        <w:t xml:space="preserve">. </w:t>
      </w:r>
      <w:r>
        <w:t>studenog</w:t>
      </w:r>
      <w:r w:rsidRPr="00393DEE">
        <w:t xml:space="preserve"> 202</w:t>
      </w:r>
      <w:r>
        <w:t>2</w:t>
      </w:r>
      <w:r w:rsidRPr="00393DEE">
        <w:t xml:space="preserve">. </w:t>
      </w:r>
      <w:r>
        <w:t xml:space="preserve">godine. </w:t>
      </w:r>
      <w:r w:rsidRPr="00027C4C">
        <w:t>Sredstva zajma HBOR koristi za osiguranje likvidnosti i provođenje kreditne aktivnosti. Na isplaćeni iznos zajma obračunava se kamata po fiksnoj stopi od 0,45% godišnje, a  HBOR otplaćuje isplaćeni iznos zajma jednokratno 2024. godine.</w:t>
      </w:r>
    </w:p>
    <w:p w14:paraId="5A52174A" w14:textId="77777777" w:rsidR="00CF3957" w:rsidRPr="00B852EF" w:rsidRDefault="00CF3957" w:rsidP="00CF3957"/>
    <w:p w14:paraId="1A5465CD" w14:textId="77777777" w:rsidR="00CF3957" w:rsidRPr="00B852EF" w:rsidRDefault="00CF3957" w:rsidP="00CF3957">
      <w:pPr>
        <w:jc w:val="center"/>
        <w:rPr>
          <w:sz w:val="28"/>
        </w:rPr>
      </w:pPr>
      <w:r>
        <w:rPr>
          <w:sz w:val="28"/>
        </w:rPr>
        <w:t>Bilješka 7</w:t>
      </w:r>
      <w:r w:rsidRPr="00B852EF">
        <w:rPr>
          <w:sz w:val="28"/>
        </w:rPr>
        <w:t xml:space="preserve">. </w:t>
      </w:r>
    </w:p>
    <w:p w14:paraId="32D21CE0" w14:textId="77777777" w:rsidR="00CF3957" w:rsidRPr="00B852EF" w:rsidRDefault="00CF3957" w:rsidP="00CF3957">
      <w:pPr>
        <w:jc w:val="center"/>
        <w:rPr>
          <w:sz w:val="28"/>
        </w:rPr>
      </w:pPr>
      <w:r>
        <w:rPr>
          <w:sz w:val="28"/>
        </w:rPr>
        <w:lastRenderedPageBreak/>
        <w:t>Šifra 1341</w:t>
      </w:r>
      <w:r w:rsidRPr="00B852EF">
        <w:rPr>
          <w:sz w:val="28"/>
        </w:rPr>
        <w:t xml:space="preserve"> Zajmovi trgovačkim društvima u javnom sektoru</w:t>
      </w:r>
    </w:p>
    <w:p w14:paraId="41AA8814" w14:textId="77777777" w:rsidR="00CF3957" w:rsidRDefault="00CF3957" w:rsidP="00CF3957">
      <w:pPr>
        <w:keepNext/>
        <w:jc w:val="both"/>
      </w:pPr>
    </w:p>
    <w:p w14:paraId="463344C7" w14:textId="77777777" w:rsidR="00CF3957" w:rsidRPr="00B852EF" w:rsidRDefault="00CF3957" w:rsidP="00CF3957">
      <w:pPr>
        <w:keepNext/>
        <w:jc w:val="both"/>
      </w:pPr>
      <w:r>
        <w:t>Potraživanja za zajmove dane</w:t>
      </w:r>
      <w:r w:rsidRPr="007B5633">
        <w:t xml:space="preserve"> trgovačkim društvima u javnom sektoru</w:t>
      </w:r>
      <w:r>
        <w:t xml:space="preserve"> iznosila</w:t>
      </w:r>
      <w:r w:rsidRPr="007B5633">
        <w:t xml:space="preserve"> su na dan 31. prosinca 2022. </w:t>
      </w:r>
      <w:r>
        <w:t xml:space="preserve">godine </w:t>
      </w:r>
      <w:r w:rsidRPr="007B5633">
        <w:t>303.696.999,75 kuna</w:t>
      </w:r>
      <w:r>
        <w:t>, odnosno manja su za 14,5% u odnosu na stanje 1. siječnja 2022. godine</w:t>
      </w:r>
      <w:r w:rsidRPr="007B5633">
        <w:t xml:space="preserve">. Najveći dio potraživanja odnosi se na potraživanje za dugoročni zajam Croatia Airlines d.d. (250.000.000,00 kuna). Ostala značajnija potraživanja jesu potraživanja za dugoročne zajmove dane </w:t>
      </w:r>
      <w:proofErr w:type="spellStart"/>
      <w:r w:rsidRPr="007B5633">
        <w:t>Ekoplusu</w:t>
      </w:r>
      <w:proofErr w:type="spellEnd"/>
      <w:r w:rsidRPr="007B5633">
        <w:t xml:space="preserve"> d.o.o. (21.785.388,54</w:t>
      </w:r>
      <w:r>
        <w:t xml:space="preserve"> kuna) i </w:t>
      </w:r>
      <w:r w:rsidRPr="007B5633">
        <w:t>Nacionalnoj veletržnici (24.137.211,37 kuna).</w:t>
      </w:r>
    </w:p>
    <w:p w14:paraId="37E25425" w14:textId="77777777" w:rsidR="00CF3957" w:rsidRPr="00B852EF" w:rsidRDefault="00CF3957" w:rsidP="00CF3957">
      <w:pPr>
        <w:keepNext/>
        <w:jc w:val="both"/>
        <w:rPr>
          <w:sz w:val="22"/>
          <w:szCs w:val="22"/>
        </w:rPr>
      </w:pPr>
    </w:p>
    <w:p w14:paraId="00C2DEB8" w14:textId="77777777" w:rsidR="00CF3957" w:rsidRPr="00B852EF" w:rsidRDefault="00CF3957" w:rsidP="00CF3957">
      <w:pPr>
        <w:jc w:val="center"/>
        <w:rPr>
          <w:sz w:val="28"/>
        </w:rPr>
      </w:pPr>
      <w:r w:rsidRPr="00B852EF">
        <w:rPr>
          <w:sz w:val="28"/>
        </w:rPr>
        <w:t>Bilješka</w:t>
      </w:r>
      <w:r>
        <w:rPr>
          <w:sz w:val="28"/>
        </w:rPr>
        <w:t xml:space="preserve"> 8</w:t>
      </w:r>
      <w:r w:rsidRPr="00B852EF">
        <w:rPr>
          <w:sz w:val="28"/>
        </w:rPr>
        <w:t>.</w:t>
      </w:r>
    </w:p>
    <w:p w14:paraId="4EE6F310" w14:textId="77777777" w:rsidR="00CF3957" w:rsidRPr="00B852EF" w:rsidRDefault="00CF3957" w:rsidP="00CF3957">
      <w:pPr>
        <w:jc w:val="center"/>
        <w:rPr>
          <w:sz w:val="28"/>
        </w:rPr>
      </w:pPr>
      <w:r>
        <w:rPr>
          <w:sz w:val="28"/>
        </w:rPr>
        <w:t>Šifra 1363</w:t>
      </w:r>
      <w:r w:rsidRPr="00B852EF">
        <w:rPr>
          <w:sz w:val="28"/>
        </w:rPr>
        <w:t xml:space="preserve"> Zajmovi tuzemnim trgovačkim društvima izvan javnog sektora i </w:t>
      </w:r>
      <w:r>
        <w:rPr>
          <w:sz w:val="28"/>
        </w:rPr>
        <w:t>šifra 1364</w:t>
      </w:r>
      <w:r w:rsidRPr="00B852EF">
        <w:rPr>
          <w:sz w:val="28"/>
        </w:rPr>
        <w:t xml:space="preserve"> Zajmovi tuzemnim obrtnicima </w:t>
      </w:r>
    </w:p>
    <w:p w14:paraId="0D078BD4" w14:textId="77777777" w:rsidR="00CF3957" w:rsidRDefault="00CF3957" w:rsidP="00CF3957">
      <w:pPr>
        <w:spacing w:before="120" w:after="120"/>
        <w:jc w:val="both"/>
      </w:pPr>
    </w:p>
    <w:p w14:paraId="758BE8E1" w14:textId="77777777" w:rsidR="00CF3957" w:rsidRPr="00285E97" w:rsidRDefault="00CF3957" w:rsidP="00CF3957">
      <w:pPr>
        <w:spacing w:before="120" w:after="120"/>
        <w:jc w:val="both"/>
      </w:pPr>
      <w:r w:rsidRPr="00285E97">
        <w:t xml:space="preserve">Potraživanja od tuzemnih trgovačkih društava izvan javnog sektora temeljem danih zajmova na dan 31. prosinca 2022. </w:t>
      </w:r>
      <w:r>
        <w:t xml:space="preserve">godine </w:t>
      </w:r>
      <w:r w:rsidRPr="00285E97">
        <w:t xml:space="preserve">iznose </w:t>
      </w:r>
      <w:r w:rsidRPr="00285E97">
        <w:rPr>
          <w:iCs/>
        </w:rPr>
        <w:t>860.063.547,96 kuna</w:t>
      </w:r>
      <w:r>
        <w:rPr>
          <w:iCs/>
        </w:rPr>
        <w:t xml:space="preserve"> i veća su za 15,1% u odnosnu na početno stanje 2022. godine</w:t>
      </w:r>
      <w:r w:rsidRPr="00285E97">
        <w:t xml:space="preserve">. Od navedenog iznosa najznačajniji dio odnosi se na potraživanja po danim zajmovima bivšeg Fonda za razvoj i zapošljavanje (FRZ) tuzemnim trgovačkim društvima u iznosu od 551.492.099,50 kuna, na potraživanja za zajam </w:t>
      </w:r>
      <w:proofErr w:type="spellStart"/>
      <w:r w:rsidRPr="00285E97">
        <w:t>Alpha</w:t>
      </w:r>
      <w:proofErr w:type="spellEnd"/>
      <w:r w:rsidRPr="00285E97">
        <w:t xml:space="preserve"> Adriatic </w:t>
      </w:r>
      <w:proofErr w:type="spellStart"/>
      <w:r w:rsidRPr="00285E97">
        <w:t>predstečaj</w:t>
      </w:r>
      <w:proofErr w:type="spellEnd"/>
      <w:r w:rsidRPr="00285E97">
        <w:t xml:space="preserve"> koja na dan 31.12.2022. godine iznose 182.194.885,98 kuna te na potraživanja za zajmove dane HBOR-u za financijske instrumente plasirane putem Nacionalnog plana oporavka i otpornosti. </w:t>
      </w:r>
    </w:p>
    <w:p w14:paraId="1371E7AB" w14:textId="77777777" w:rsidR="00CF3957" w:rsidRPr="00285E97" w:rsidRDefault="00CF3957" w:rsidP="00CF3957">
      <w:pPr>
        <w:spacing w:before="120" w:after="120"/>
        <w:jc w:val="both"/>
      </w:pPr>
      <w:r w:rsidRPr="00285E97">
        <w:t>Potraživanja po danim zajmovima tuzemnim obrtnicima iznose 53.988.810,66 kuna, a odnose se na potraživanja po danim zajmovima bivšeg Fonda za razvoj i zapošljavanje (FRZ) na dan 31. prosinca 2022.</w:t>
      </w:r>
      <w:r>
        <w:t xml:space="preserve"> godine.</w:t>
      </w:r>
    </w:p>
    <w:p w14:paraId="13D13C34" w14:textId="77777777" w:rsidR="00CF3957" w:rsidRDefault="00CF3957" w:rsidP="00CF3957"/>
    <w:p w14:paraId="5CFF4964" w14:textId="77777777" w:rsidR="00CF3957" w:rsidRPr="00B852EF" w:rsidRDefault="00CF3957" w:rsidP="00CF3957"/>
    <w:p w14:paraId="48AF6B80" w14:textId="77777777" w:rsidR="00CF3957" w:rsidRPr="00B852EF" w:rsidRDefault="00CF3957" w:rsidP="00CF3957">
      <w:pPr>
        <w:keepNext/>
        <w:jc w:val="center"/>
        <w:rPr>
          <w:sz w:val="28"/>
        </w:rPr>
      </w:pPr>
      <w:r>
        <w:rPr>
          <w:sz w:val="28"/>
        </w:rPr>
        <w:t>Bilješka 9</w:t>
      </w:r>
      <w:r w:rsidRPr="00B852EF">
        <w:rPr>
          <w:sz w:val="28"/>
        </w:rPr>
        <w:t>.</w:t>
      </w:r>
    </w:p>
    <w:p w14:paraId="0CBBF61A" w14:textId="77777777" w:rsidR="00CF3957" w:rsidRPr="00B852EF" w:rsidRDefault="00CF3957" w:rsidP="00CF3957">
      <w:pPr>
        <w:keepNext/>
        <w:jc w:val="center"/>
        <w:rPr>
          <w:sz w:val="28"/>
          <w:szCs w:val="28"/>
        </w:rPr>
      </w:pPr>
      <w:r>
        <w:rPr>
          <w:sz w:val="28"/>
        </w:rPr>
        <w:t>Šifra 1372</w:t>
      </w:r>
      <w:r w:rsidRPr="00B852EF">
        <w:rPr>
          <w:sz w:val="28"/>
        </w:rPr>
        <w:t xml:space="preserve"> </w:t>
      </w:r>
      <w:r w:rsidRPr="00B852EF">
        <w:rPr>
          <w:sz w:val="28"/>
          <w:szCs w:val="28"/>
        </w:rPr>
        <w:t>Zajmovi župani</w:t>
      </w:r>
      <w:r>
        <w:rPr>
          <w:sz w:val="28"/>
          <w:szCs w:val="28"/>
        </w:rPr>
        <w:t>jskim proračunima,</w:t>
      </w:r>
      <w:r w:rsidRPr="00B852EF">
        <w:rPr>
          <w:sz w:val="28"/>
          <w:szCs w:val="28"/>
        </w:rPr>
        <w:t xml:space="preserve"> </w:t>
      </w:r>
      <w:r>
        <w:rPr>
          <w:sz w:val="28"/>
        </w:rPr>
        <w:t>šifra 1373</w:t>
      </w:r>
      <w:r w:rsidRPr="00B852EF">
        <w:rPr>
          <w:sz w:val="28"/>
        </w:rPr>
        <w:t xml:space="preserve"> </w:t>
      </w:r>
      <w:r w:rsidRPr="00B852EF">
        <w:rPr>
          <w:sz w:val="28"/>
          <w:szCs w:val="28"/>
        </w:rPr>
        <w:t>Zajmo</w:t>
      </w:r>
      <w:r>
        <w:rPr>
          <w:sz w:val="28"/>
          <w:szCs w:val="28"/>
        </w:rPr>
        <w:t>vi gradskim proračunima i</w:t>
      </w:r>
      <w:r w:rsidRPr="00B852EF">
        <w:rPr>
          <w:sz w:val="28"/>
          <w:szCs w:val="28"/>
        </w:rPr>
        <w:t xml:space="preserve"> </w:t>
      </w:r>
      <w:r>
        <w:rPr>
          <w:sz w:val="28"/>
        </w:rPr>
        <w:t>šifra 1374</w:t>
      </w:r>
      <w:r w:rsidRPr="00B852EF">
        <w:rPr>
          <w:sz w:val="28"/>
        </w:rPr>
        <w:t xml:space="preserve"> </w:t>
      </w:r>
      <w:r w:rsidRPr="00B852EF">
        <w:rPr>
          <w:sz w:val="28"/>
          <w:szCs w:val="28"/>
        </w:rPr>
        <w:t>Zajmovi općinskim proračunima</w:t>
      </w:r>
    </w:p>
    <w:p w14:paraId="21DD0CCD" w14:textId="77777777" w:rsidR="00CF3957" w:rsidRDefault="00CF3957" w:rsidP="00CF3957">
      <w:pPr>
        <w:jc w:val="both"/>
        <w:rPr>
          <w:szCs w:val="20"/>
        </w:rPr>
      </w:pPr>
    </w:p>
    <w:p w14:paraId="3840E7A5" w14:textId="77777777" w:rsidR="00CF3957" w:rsidRDefault="00CF3957" w:rsidP="00CF3957">
      <w:pPr>
        <w:jc w:val="both"/>
        <w:rPr>
          <w:szCs w:val="20"/>
        </w:rPr>
      </w:pPr>
      <w:r>
        <w:rPr>
          <w:szCs w:val="20"/>
        </w:rPr>
        <w:t>Na dan 31. prosinca 2022. godine p</w:t>
      </w:r>
      <w:r w:rsidRPr="00B852EF">
        <w:rPr>
          <w:szCs w:val="20"/>
        </w:rPr>
        <w:t xml:space="preserve">otraživanja koja se odnose na zajmove dane županijskim, gradskim i općinskim proračunima </w:t>
      </w:r>
      <w:r>
        <w:rPr>
          <w:szCs w:val="20"/>
        </w:rPr>
        <w:t xml:space="preserve">(šifre 1372, 1373 i 1374) </w:t>
      </w:r>
      <w:r w:rsidRPr="00B852EF">
        <w:rPr>
          <w:szCs w:val="20"/>
        </w:rPr>
        <w:t xml:space="preserve">u </w:t>
      </w:r>
      <w:r>
        <w:rPr>
          <w:szCs w:val="20"/>
        </w:rPr>
        <w:t xml:space="preserve">ukupnom </w:t>
      </w:r>
      <w:r w:rsidRPr="00B852EF">
        <w:rPr>
          <w:szCs w:val="20"/>
        </w:rPr>
        <w:t xml:space="preserve">iznosu od </w:t>
      </w:r>
      <w:r>
        <w:rPr>
          <w:szCs w:val="20"/>
        </w:rPr>
        <w:t>931.341.013,52 kune, odnosno manja su za</w:t>
      </w:r>
      <w:r w:rsidRPr="00F63DE0">
        <w:t xml:space="preserve"> </w:t>
      </w:r>
      <w:r w:rsidRPr="00F63DE0">
        <w:rPr>
          <w:szCs w:val="20"/>
        </w:rPr>
        <w:t>475.704.041,48</w:t>
      </w:r>
      <w:r>
        <w:rPr>
          <w:szCs w:val="20"/>
        </w:rPr>
        <w:t xml:space="preserve"> kuna u odnosu na početno stanje 2022. godine kada su iznosila</w:t>
      </w:r>
      <w:r w:rsidRPr="00F63DE0">
        <w:t xml:space="preserve"> </w:t>
      </w:r>
      <w:r w:rsidRPr="00F63DE0">
        <w:rPr>
          <w:szCs w:val="20"/>
        </w:rPr>
        <w:t>1.407.045.055</w:t>
      </w:r>
      <w:r>
        <w:rPr>
          <w:szCs w:val="20"/>
        </w:rPr>
        <w:t xml:space="preserve"> kuna.</w:t>
      </w:r>
    </w:p>
    <w:p w14:paraId="2D03703F" w14:textId="77777777" w:rsidR="00CF3957" w:rsidRDefault="00CF3957" w:rsidP="00CF3957">
      <w:pPr>
        <w:jc w:val="both"/>
        <w:rPr>
          <w:szCs w:val="20"/>
        </w:rPr>
      </w:pPr>
    </w:p>
    <w:p w14:paraId="77F5E96A" w14:textId="77777777" w:rsidR="00CF3957" w:rsidRDefault="00CF3957" w:rsidP="00CF3957">
      <w:pPr>
        <w:jc w:val="both"/>
        <w:rPr>
          <w:szCs w:val="20"/>
        </w:rPr>
      </w:pPr>
      <w:r>
        <w:rPr>
          <w:szCs w:val="20"/>
        </w:rPr>
        <w:t>Navedena potraživanja</w:t>
      </w:r>
      <w:r w:rsidRPr="00B852EF">
        <w:rPr>
          <w:szCs w:val="20"/>
        </w:rPr>
        <w:t xml:space="preserve"> čine:</w:t>
      </w:r>
    </w:p>
    <w:p w14:paraId="3008811E" w14:textId="77777777" w:rsidR="00CF3957" w:rsidRPr="0057118A" w:rsidRDefault="00CF3957" w:rsidP="00CF3957">
      <w:pPr>
        <w:pStyle w:val="Odlomakpopisa"/>
        <w:numPr>
          <w:ilvl w:val="0"/>
          <w:numId w:val="36"/>
        </w:numPr>
        <w:spacing w:before="120" w:after="120"/>
        <w:ind w:left="714" w:hanging="357"/>
        <w:contextualSpacing w:val="0"/>
        <w:jc w:val="both"/>
        <w:rPr>
          <w:szCs w:val="20"/>
        </w:rPr>
      </w:pPr>
      <w:r w:rsidRPr="00437787">
        <w:rPr>
          <w:szCs w:val="20"/>
        </w:rPr>
        <w:t>potraživanja koja se odnose na zajmove dane županijskim, gradskim i općinskim proračunima</w:t>
      </w:r>
      <w:r>
        <w:rPr>
          <w:szCs w:val="20"/>
        </w:rPr>
        <w:t xml:space="preserve"> u iznosu od </w:t>
      </w:r>
      <w:r w:rsidRPr="0057118A">
        <w:rPr>
          <w:szCs w:val="20"/>
        </w:rPr>
        <w:t>833.162.795,83 kune</w:t>
      </w:r>
    </w:p>
    <w:p w14:paraId="514E2E3E" w14:textId="77777777" w:rsidR="00CF3957" w:rsidRDefault="00CF3957" w:rsidP="00CF3957">
      <w:pPr>
        <w:pStyle w:val="Odlomakpopisa"/>
        <w:numPr>
          <w:ilvl w:val="0"/>
          <w:numId w:val="36"/>
        </w:numPr>
        <w:spacing w:before="120" w:after="120"/>
        <w:ind w:left="714" w:hanging="357"/>
        <w:contextualSpacing w:val="0"/>
        <w:jc w:val="both"/>
      </w:pPr>
      <w:r>
        <w:t>p</w:t>
      </w:r>
      <w:r w:rsidRPr="00E15075">
        <w:t xml:space="preserve">otraživanja za dane zajmove drugim razinama vlasti za dane međunarodne zajmove - EIB 25749 </w:t>
      </w:r>
      <w:r>
        <w:t xml:space="preserve">koja se </w:t>
      </w:r>
      <w:r w:rsidRPr="00E15075">
        <w:t xml:space="preserve">odnose na zajmove dane županijskim proračunima u iznosu 64.049.865,21 </w:t>
      </w:r>
      <w:r w:rsidRPr="00E15075">
        <w:rPr>
          <w:bCs/>
        </w:rPr>
        <w:t>kuna</w:t>
      </w:r>
      <w:r w:rsidRPr="00E15075">
        <w:t xml:space="preserve"> (Istarska i Primorsko-goranska) </w:t>
      </w:r>
    </w:p>
    <w:p w14:paraId="3F50F244" w14:textId="77777777" w:rsidR="00CF3957" w:rsidRPr="003B30B6" w:rsidRDefault="00CF3957" w:rsidP="00CF3957">
      <w:pPr>
        <w:pStyle w:val="Odlomakpopisa"/>
        <w:numPr>
          <w:ilvl w:val="0"/>
          <w:numId w:val="36"/>
        </w:numPr>
        <w:spacing w:before="120" w:after="120"/>
        <w:ind w:left="714" w:hanging="357"/>
        <w:contextualSpacing w:val="0"/>
        <w:jc w:val="both"/>
      </w:pPr>
      <w:r>
        <w:t xml:space="preserve">potraživanja za </w:t>
      </w:r>
      <w:r w:rsidRPr="00E15075">
        <w:t xml:space="preserve">zajmove dane gradskim proračunima u iznosu 34.128.352,48 </w:t>
      </w:r>
      <w:r w:rsidRPr="0057118A">
        <w:rPr>
          <w:bCs/>
        </w:rPr>
        <w:t>kuna</w:t>
      </w:r>
      <w:r w:rsidRPr="00E15075">
        <w:t xml:space="preserve"> (Rijeka i Šibenik).</w:t>
      </w:r>
    </w:p>
    <w:p w14:paraId="1F6AEA34" w14:textId="77777777" w:rsidR="00CF3957" w:rsidRDefault="00CF3957" w:rsidP="00CF3957">
      <w:pPr>
        <w:jc w:val="both"/>
        <w:rPr>
          <w:szCs w:val="20"/>
        </w:rPr>
      </w:pPr>
    </w:p>
    <w:p w14:paraId="63A79C03" w14:textId="77777777" w:rsidR="00CF3957" w:rsidRPr="00437787" w:rsidRDefault="00CF3957" w:rsidP="00CF3957">
      <w:pPr>
        <w:jc w:val="both"/>
        <w:rPr>
          <w:szCs w:val="20"/>
        </w:rPr>
      </w:pPr>
      <w:r w:rsidRPr="00437787">
        <w:rPr>
          <w:szCs w:val="20"/>
        </w:rPr>
        <w:t>Na dan 31. prosinca 2022. potraživanja koja se odnose na zajmove dane županijskim, gradskim i općinskim proračunima u iznosu od 833.162.795,83 kune čine:</w:t>
      </w:r>
    </w:p>
    <w:p w14:paraId="3019181A" w14:textId="77777777" w:rsidR="00CF3957" w:rsidRPr="00437787" w:rsidRDefault="00CF3957" w:rsidP="00CF3957">
      <w:pPr>
        <w:pStyle w:val="Odlomakpopisa"/>
        <w:numPr>
          <w:ilvl w:val="0"/>
          <w:numId w:val="35"/>
        </w:numPr>
        <w:spacing w:before="120" w:after="120"/>
        <w:ind w:left="714" w:hanging="357"/>
        <w:contextualSpacing w:val="0"/>
        <w:jc w:val="both"/>
        <w:rPr>
          <w:szCs w:val="20"/>
        </w:rPr>
      </w:pPr>
      <w:r w:rsidRPr="00437787">
        <w:rPr>
          <w:szCs w:val="20"/>
        </w:rPr>
        <w:lastRenderedPageBreak/>
        <w:t>potraživanja po danim beskamatnim zajmovima s osnova odgode i/ili obročne otplate odnosno oslobođenja od plaćanja poreza na dohodak i prireza porezu na dohodak, izvršenog povrata preplaćenog poreza na dohodak i prireza porezu na dohodak po godišnjem obračunu za 2019. godinu</w:t>
      </w:r>
    </w:p>
    <w:p w14:paraId="4DBE5E55" w14:textId="77777777" w:rsidR="00CF3957" w:rsidRPr="00437787" w:rsidRDefault="00CF3957" w:rsidP="00CF3957">
      <w:pPr>
        <w:pStyle w:val="Odlomakpopisa"/>
        <w:numPr>
          <w:ilvl w:val="0"/>
          <w:numId w:val="35"/>
        </w:numPr>
        <w:spacing w:before="120" w:after="120"/>
        <w:ind w:left="714" w:hanging="357"/>
        <w:contextualSpacing w:val="0"/>
        <w:jc w:val="both"/>
        <w:rPr>
          <w:szCs w:val="20"/>
        </w:rPr>
      </w:pPr>
      <w:r w:rsidRPr="00437787">
        <w:rPr>
          <w:szCs w:val="20"/>
        </w:rPr>
        <w:t>potraživanja po beskamatnim zajmovima uslijed pada prihoda u razdoblju siječanj - rujan 2020.</w:t>
      </w:r>
      <w:r>
        <w:rPr>
          <w:szCs w:val="20"/>
        </w:rPr>
        <w:t xml:space="preserve"> godine</w:t>
      </w:r>
      <w:r w:rsidRPr="00437787">
        <w:rPr>
          <w:szCs w:val="20"/>
        </w:rPr>
        <w:t xml:space="preserve"> i siječanj</w:t>
      </w:r>
      <w:r>
        <w:rPr>
          <w:szCs w:val="20"/>
        </w:rPr>
        <w:t xml:space="preserve"> </w:t>
      </w:r>
      <w:r w:rsidRPr="00437787">
        <w:rPr>
          <w:szCs w:val="20"/>
        </w:rPr>
        <w:t>-</w:t>
      </w:r>
      <w:r>
        <w:rPr>
          <w:szCs w:val="20"/>
        </w:rPr>
        <w:t xml:space="preserve"> </w:t>
      </w:r>
      <w:r w:rsidRPr="00437787">
        <w:rPr>
          <w:szCs w:val="20"/>
        </w:rPr>
        <w:t>rujan 2021. godin</w:t>
      </w:r>
      <w:r>
        <w:rPr>
          <w:szCs w:val="20"/>
        </w:rPr>
        <w:t>e</w:t>
      </w:r>
      <w:r w:rsidRPr="00437787">
        <w:rPr>
          <w:szCs w:val="20"/>
        </w:rPr>
        <w:t xml:space="preserve"> u odnosu na isto razdoblje 2019. godine</w:t>
      </w:r>
    </w:p>
    <w:p w14:paraId="1B35C842" w14:textId="77777777" w:rsidR="00CF3957" w:rsidRPr="00437787" w:rsidRDefault="00CF3957" w:rsidP="00CF3957">
      <w:pPr>
        <w:pStyle w:val="Odlomakpopisa"/>
        <w:numPr>
          <w:ilvl w:val="0"/>
          <w:numId w:val="35"/>
        </w:numPr>
        <w:spacing w:before="120" w:after="120"/>
        <w:ind w:left="714" w:hanging="357"/>
        <w:contextualSpacing w:val="0"/>
        <w:jc w:val="both"/>
        <w:rPr>
          <w:szCs w:val="20"/>
        </w:rPr>
      </w:pPr>
      <w:r w:rsidRPr="00437787">
        <w:rPr>
          <w:szCs w:val="20"/>
        </w:rPr>
        <w:t xml:space="preserve">potraživanja po danim beskamatnim zajmovima u 2021. i 2022. godini s osnove sanacije štete od potresa </w:t>
      </w:r>
    </w:p>
    <w:p w14:paraId="79505C99" w14:textId="77777777" w:rsidR="00CF3957" w:rsidRPr="00437787" w:rsidRDefault="00CF3957" w:rsidP="00CF3957">
      <w:pPr>
        <w:pStyle w:val="Odlomakpopisa"/>
        <w:numPr>
          <w:ilvl w:val="0"/>
          <w:numId w:val="35"/>
        </w:numPr>
        <w:spacing w:before="120" w:after="120"/>
        <w:ind w:left="714" w:hanging="357"/>
        <w:contextualSpacing w:val="0"/>
        <w:jc w:val="both"/>
        <w:rPr>
          <w:szCs w:val="20"/>
        </w:rPr>
      </w:pPr>
      <w:r w:rsidRPr="00437787">
        <w:rPr>
          <w:szCs w:val="20"/>
        </w:rPr>
        <w:t>potraživanja po nedostajućim sredstvima korištenima za povrat poreza na dohodak i prireza porezu na dohodak po godišnjoj prijavi za 2020. godinu namirenih na teret jedinstvenog računa državnog proračuna u 2021. godini te</w:t>
      </w:r>
    </w:p>
    <w:p w14:paraId="1AFD4482" w14:textId="77777777" w:rsidR="00CF3957" w:rsidRDefault="00CF3957" w:rsidP="00CF3957">
      <w:pPr>
        <w:pStyle w:val="Odlomakpopisa"/>
        <w:numPr>
          <w:ilvl w:val="0"/>
          <w:numId w:val="35"/>
        </w:numPr>
        <w:spacing w:before="120" w:after="120"/>
        <w:ind w:left="714" w:hanging="357"/>
        <w:contextualSpacing w:val="0"/>
        <w:jc w:val="both"/>
        <w:rPr>
          <w:szCs w:val="20"/>
        </w:rPr>
      </w:pPr>
      <w:r w:rsidRPr="00437787">
        <w:rPr>
          <w:szCs w:val="20"/>
        </w:rPr>
        <w:t>potraživanja po nedostajućim sredstvima korištenima za povrat poreza na dohodak i prireza porezu na dohodak po godišnjoj prijavi za 2021. godinu namirenih na teret jedinstvenog računa državnog proračuna u 2022. godini</w:t>
      </w:r>
      <w:r>
        <w:rPr>
          <w:szCs w:val="20"/>
        </w:rPr>
        <w:t>,</w:t>
      </w:r>
    </w:p>
    <w:p w14:paraId="0139EA80" w14:textId="77777777" w:rsidR="00CF3957" w:rsidRDefault="00CF3957" w:rsidP="00CF3957">
      <w:pPr>
        <w:pStyle w:val="Odlomakpopisa"/>
        <w:spacing w:before="120" w:after="120"/>
        <w:ind w:left="714"/>
        <w:contextualSpacing w:val="0"/>
        <w:jc w:val="both"/>
        <w:rPr>
          <w:szCs w:val="20"/>
        </w:rPr>
      </w:pPr>
    </w:p>
    <w:p w14:paraId="25E5D79D" w14:textId="77777777" w:rsidR="00CF3957" w:rsidRPr="00B50A60" w:rsidRDefault="00CF3957" w:rsidP="00CF3957">
      <w:pPr>
        <w:pStyle w:val="Odlomakpopisa"/>
        <w:spacing w:before="120" w:after="120"/>
        <w:ind w:left="714" w:hanging="714"/>
        <w:contextualSpacing w:val="0"/>
        <w:jc w:val="both"/>
        <w:rPr>
          <w:szCs w:val="20"/>
        </w:rPr>
      </w:pPr>
      <w:r>
        <w:rPr>
          <w:szCs w:val="20"/>
        </w:rPr>
        <w:t xml:space="preserve">Pregled iznosa beskamatnih zajmova </w:t>
      </w:r>
      <w:r w:rsidRPr="00B50A60">
        <w:rPr>
          <w:szCs w:val="20"/>
        </w:rPr>
        <w:t>dan</w:t>
      </w:r>
      <w:r>
        <w:rPr>
          <w:szCs w:val="20"/>
        </w:rPr>
        <w:t xml:space="preserve"> je</w:t>
      </w:r>
      <w:r w:rsidRPr="00B50A60">
        <w:rPr>
          <w:szCs w:val="20"/>
        </w:rPr>
        <w:t xml:space="preserve"> u Tablici 2.</w:t>
      </w:r>
    </w:p>
    <w:p w14:paraId="7D8D74D4" w14:textId="77777777" w:rsidR="00CF3957" w:rsidRPr="0057118A" w:rsidRDefault="00CF3957" w:rsidP="00CF3957">
      <w:pPr>
        <w:jc w:val="both"/>
        <w:rPr>
          <w:szCs w:val="20"/>
        </w:rPr>
      </w:pPr>
    </w:p>
    <w:p w14:paraId="36C7E9B5" w14:textId="77777777" w:rsidR="00CF3957" w:rsidRPr="00B852EF" w:rsidRDefault="00CF3957" w:rsidP="00CF3957">
      <w:pPr>
        <w:keepNext/>
        <w:tabs>
          <w:tab w:val="decimal" w:pos="8820"/>
        </w:tabs>
        <w:ind w:left="720"/>
        <w:jc w:val="both"/>
        <w:rPr>
          <w:b/>
          <w:sz w:val="20"/>
        </w:rPr>
      </w:pPr>
      <w:r>
        <w:rPr>
          <w:b/>
          <w:sz w:val="20"/>
        </w:rPr>
        <w:t>Tablica 2.</w:t>
      </w:r>
    </w:p>
    <w:tbl>
      <w:tblPr>
        <w:tblW w:w="4460" w:type="pct"/>
        <w:jc w:val="center"/>
        <w:tblLook w:val="04A0" w:firstRow="1" w:lastRow="0" w:firstColumn="1" w:lastColumn="0" w:noHBand="0" w:noVBand="1"/>
      </w:tblPr>
      <w:tblGrid>
        <w:gridCol w:w="844"/>
        <w:gridCol w:w="5389"/>
        <w:gridCol w:w="2127"/>
      </w:tblGrid>
      <w:tr w:rsidR="00CF3957" w:rsidRPr="00B852EF" w14:paraId="0128512D" w14:textId="77777777" w:rsidTr="001E71E3">
        <w:trPr>
          <w:trHeight w:val="600"/>
          <w:jc w:val="center"/>
        </w:trPr>
        <w:tc>
          <w:tcPr>
            <w:tcW w:w="505" w:type="pct"/>
            <w:tcBorders>
              <w:top w:val="single" w:sz="4" w:space="0" w:color="auto"/>
              <w:left w:val="single" w:sz="4" w:space="0" w:color="auto"/>
              <w:bottom w:val="single" w:sz="4" w:space="0" w:color="auto"/>
              <w:right w:val="single" w:sz="4" w:space="0" w:color="000000"/>
            </w:tcBorders>
            <w:vAlign w:val="center"/>
          </w:tcPr>
          <w:p w14:paraId="2E5D8A37" w14:textId="77777777" w:rsidR="00CF3957" w:rsidRPr="00B852EF" w:rsidRDefault="00CF3957" w:rsidP="001E71E3">
            <w:pPr>
              <w:keepNext/>
              <w:jc w:val="center"/>
              <w:rPr>
                <w:b/>
                <w:bCs/>
                <w:sz w:val="20"/>
                <w:szCs w:val="20"/>
              </w:rPr>
            </w:pPr>
            <w:r w:rsidRPr="00B852EF">
              <w:rPr>
                <w:b/>
                <w:bCs/>
                <w:sz w:val="20"/>
                <w:szCs w:val="20"/>
              </w:rPr>
              <w:t>Red. broj</w:t>
            </w:r>
          </w:p>
        </w:tc>
        <w:tc>
          <w:tcPr>
            <w:tcW w:w="322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8C2211" w14:textId="77777777" w:rsidR="00CF3957" w:rsidRPr="00B852EF" w:rsidRDefault="00CF3957" w:rsidP="001E71E3">
            <w:pPr>
              <w:keepNext/>
              <w:jc w:val="center"/>
              <w:rPr>
                <w:b/>
                <w:bCs/>
                <w:sz w:val="20"/>
                <w:szCs w:val="20"/>
              </w:rPr>
            </w:pPr>
            <w:r w:rsidRPr="00B852EF">
              <w:rPr>
                <w:b/>
                <w:bCs/>
                <w:sz w:val="20"/>
                <w:szCs w:val="20"/>
              </w:rPr>
              <w:t>Opis</w:t>
            </w:r>
          </w:p>
        </w:tc>
        <w:tc>
          <w:tcPr>
            <w:tcW w:w="1272" w:type="pct"/>
            <w:tcBorders>
              <w:top w:val="single" w:sz="4" w:space="0" w:color="auto"/>
              <w:left w:val="nil"/>
              <w:bottom w:val="single" w:sz="4" w:space="0" w:color="auto"/>
              <w:right w:val="single" w:sz="4" w:space="0" w:color="auto"/>
            </w:tcBorders>
            <w:shd w:val="clear" w:color="auto" w:fill="auto"/>
            <w:vAlign w:val="center"/>
            <w:hideMark/>
          </w:tcPr>
          <w:p w14:paraId="7C03C7F4" w14:textId="77777777" w:rsidR="00CF3957" w:rsidRPr="00B852EF" w:rsidRDefault="00CF3957" w:rsidP="001E71E3">
            <w:pPr>
              <w:keepNext/>
              <w:jc w:val="center"/>
              <w:rPr>
                <w:b/>
                <w:bCs/>
                <w:sz w:val="20"/>
                <w:szCs w:val="20"/>
              </w:rPr>
            </w:pPr>
            <w:r w:rsidRPr="00B852EF">
              <w:rPr>
                <w:b/>
                <w:bCs/>
                <w:sz w:val="20"/>
                <w:szCs w:val="20"/>
              </w:rPr>
              <w:t xml:space="preserve">Stanje ukupnih </w:t>
            </w:r>
          </w:p>
          <w:p w14:paraId="381ADD6B" w14:textId="77777777" w:rsidR="00CF3957" w:rsidRPr="00B852EF" w:rsidRDefault="00CF3957" w:rsidP="001E71E3">
            <w:pPr>
              <w:keepNext/>
              <w:jc w:val="center"/>
              <w:rPr>
                <w:b/>
                <w:bCs/>
                <w:sz w:val="20"/>
                <w:szCs w:val="20"/>
              </w:rPr>
            </w:pPr>
            <w:r w:rsidRPr="00B852EF">
              <w:rPr>
                <w:b/>
                <w:bCs/>
                <w:sz w:val="20"/>
                <w:szCs w:val="20"/>
              </w:rPr>
              <w:t>potraživanja na</w:t>
            </w:r>
          </w:p>
          <w:p w14:paraId="79AD1C6C" w14:textId="77777777" w:rsidR="00CF3957" w:rsidRPr="00B852EF" w:rsidRDefault="00CF3957" w:rsidP="001E71E3">
            <w:pPr>
              <w:keepNext/>
              <w:jc w:val="center"/>
              <w:rPr>
                <w:b/>
                <w:bCs/>
                <w:sz w:val="20"/>
                <w:szCs w:val="20"/>
              </w:rPr>
            </w:pPr>
            <w:r w:rsidRPr="00B852EF">
              <w:rPr>
                <w:b/>
                <w:bCs/>
                <w:sz w:val="20"/>
                <w:szCs w:val="20"/>
              </w:rPr>
              <w:t>31.12.202</w:t>
            </w:r>
            <w:r>
              <w:rPr>
                <w:b/>
                <w:bCs/>
                <w:sz w:val="20"/>
                <w:szCs w:val="20"/>
              </w:rPr>
              <w:t>2</w:t>
            </w:r>
            <w:r w:rsidRPr="00B852EF">
              <w:rPr>
                <w:b/>
                <w:bCs/>
                <w:sz w:val="20"/>
                <w:szCs w:val="20"/>
              </w:rPr>
              <w:t>.</w:t>
            </w:r>
          </w:p>
        </w:tc>
      </w:tr>
      <w:tr w:rsidR="00CF3957" w:rsidRPr="00B852EF" w14:paraId="714F892B" w14:textId="77777777" w:rsidTr="001E71E3">
        <w:trPr>
          <w:trHeight w:val="31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02BEDB3B" w14:textId="77777777" w:rsidR="00CF3957" w:rsidRPr="00EC1365" w:rsidRDefault="00CF3957" w:rsidP="001E71E3">
            <w:pPr>
              <w:pStyle w:val="Odlomakpopisa"/>
              <w:keepNext/>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6EED1C88" w14:textId="77777777" w:rsidR="00CF3957" w:rsidRPr="00EC1365" w:rsidRDefault="00CF3957" w:rsidP="001E71E3">
            <w:pPr>
              <w:keepNext/>
              <w:rPr>
                <w:sz w:val="20"/>
                <w:szCs w:val="20"/>
              </w:rPr>
            </w:pPr>
            <w:r w:rsidRPr="00EC1365">
              <w:rPr>
                <w:sz w:val="20"/>
                <w:szCs w:val="20"/>
              </w:rPr>
              <w:t>Beskamatni zajmovi županijskim proračunima kratkoročni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196C784B" w14:textId="77777777" w:rsidR="00CF3957" w:rsidRPr="00EC1365" w:rsidRDefault="00CF3957" w:rsidP="001E71E3">
            <w:pPr>
              <w:keepNext/>
              <w:jc w:val="right"/>
              <w:rPr>
                <w:sz w:val="20"/>
                <w:szCs w:val="20"/>
              </w:rPr>
            </w:pPr>
            <w:r w:rsidRPr="00EC1365">
              <w:rPr>
                <w:sz w:val="20"/>
                <w:szCs w:val="20"/>
              </w:rPr>
              <w:t>6.316.664,90</w:t>
            </w:r>
          </w:p>
        </w:tc>
      </w:tr>
      <w:tr w:rsidR="00CF3957" w:rsidRPr="00B852EF" w14:paraId="15AA68F3" w14:textId="77777777" w:rsidTr="001E71E3">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134E321B" w14:textId="77777777" w:rsidR="00CF3957" w:rsidRPr="00EC1365" w:rsidRDefault="00CF3957" w:rsidP="001E71E3">
            <w:pPr>
              <w:pStyle w:val="Odlomakpopisa"/>
              <w:keepNext/>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39E4F679" w14:textId="77777777" w:rsidR="00CF3957" w:rsidRPr="00EC1365" w:rsidRDefault="00CF3957" w:rsidP="001E71E3">
            <w:pPr>
              <w:keepNext/>
              <w:rPr>
                <w:sz w:val="20"/>
                <w:szCs w:val="20"/>
              </w:rPr>
            </w:pPr>
            <w:r w:rsidRPr="00EC1365">
              <w:rPr>
                <w:sz w:val="20"/>
                <w:szCs w:val="20"/>
              </w:rPr>
              <w:t>Beskamatni zajmovi županijskim proračunima dugoročni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1FD0506F" w14:textId="77777777" w:rsidR="00CF3957" w:rsidRPr="00EC1365" w:rsidRDefault="00CF3957" w:rsidP="001E71E3">
            <w:pPr>
              <w:keepNext/>
              <w:jc w:val="right"/>
              <w:rPr>
                <w:sz w:val="20"/>
                <w:szCs w:val="20"/>
              </w:rPr>
            </w:pPr>
            <w:r w:rsidRPr="00EC1365">
              <w:rPr>
                <w:sz w:val="20"/>
                <w:szCs w:val="20"/>
              </w:rPr>
              <w:t>141.759.352,27</w:t>
            </w:r>
          </w:p>
        </w:tc>
      </w:tr>
      <w:tr w:rsidR="00CF3957" w:rsidRPr="00B852EF" w14:paraId="4DEA3B8F" w14:textId="77777777" w:rsidTr="001E71E3">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4588F5B6" w14:textId="77777777" w:rsidR="00CF3957" w:rsidRPr="00EC1365" w:rsidRDefault="00CF3957" w:rsidP="001E71E3">
            <w:pPr>
              <w:pStyle w:val="Odlomakpopisa"/>
              <w:keepNext/>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3247333D" w14:textId="77777777" w:rsidR="00CF3957" w:rsidRPr="00EC1365" w:rsidRDefault="00CF3957" w:rsidP="001E71E3">
            <w:pPr>
              <w:keepNext/>
              <w:rPr>
                <w:sz w:val="20"/>
                <w:szCs w:val="20"/>
              </w:rPr>
            </w:pPr>
            <w:r w:rsidRPr="00EC1365">
              <w:rPr>
                <w:sz w:val="20"/>
                <w:szCs w:val="20"/>
              </w:rPr>
              <w:t>Beskamatni zajmovi gradskim proračunima kratkoročni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7085891E" w14:textId="77777777" w:rsidR="00CF3957" w:rsidRPr="00EC1365" w:rsidRDefault="00CF3957" w:rsidP="001E71E3">
            <w:pPr>
              <w:keepNext/>
              <w:jc w:val="right"/>
              <w:rPr>
                <w:sz w:val="20"/>
                <w:szCs w:val="20"/>
              </w:rPr>
            </w:pPr>
            <w:r w:rsidRPr="00EC1365">
              <w:rPr>
                <w:sz w:val="20"/>
                <w:szCs w:val="20"/>
              </w:rPr>
              <w:t>17.013.447,35</w:t>
            </w:r>
          </w:p>
        </w:tc>
      </w:tr>
      <w:tr w:rsidR="00CF3957" w:rsidRPr="00B852EF" w14:paraId="0DE8C611" w14:textId="77777777" w:rsidTr="001E71E3">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2DFBB9F0" w14:textId="77777777" w:rsidR="00CF3957" w:rsidRPr="00EC1365" w:rsidRDefault="00CF3957" w:rsidP="001E71E3">
            <w:pPr>
              <w:pStyle w:val="Odlomakpopisa"/>
              <w:keepNext/>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2D18EFA0" w14:textId="77777777" w:rsidR="00CF3957" w:rsidRPr="00EC1365" w:rsidRDefault="00CF3957" w:rsidP="001E71E3">
            <w:pPr>
              <w:keepNext/>
              <w:rPr>
                <w:sz w:val="20"/>
                <w:szCs w:val="20"/>
              </w:rPr>
            </w:pPr>
            <w:r w:rsidRPr="00EC1365">
              <w:rPr>
                <w:sz w:val="20"/>
                <w:szCs w:val="20"/>
              </w:rPr>
              <w:t>Beskamatni zajmovi gradskim proračunima dugoročni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30AD92E2" w14:textId="77777777" w:rsidR="00CF3957" w:rsidRPr="00EC1365" w:rsidRDefault="00CF3957" w:rsidP="001E71E3">
            <w:pPr>
              <w:keepNext/>
              <w:jc w:val="right"/>
              <w:rPr>
                <w:sz w:val="20"/>
                <w:szCs w:val="20"/>
              </w:rPr>
            </w:pPr>
            <w:r w:rsidRPr="00EC1365">
              <w:rPr>
                <w:sz w:val="20"/>
                <w:szCs w:val="20"/>
              </w:rPr>
              <w:t>564.329.453,86</w:t>
            </w:r>
          </w:p>
        </w:tc>
      </w:tr>
      <w:tr w:rsidR="00CF3957" w:rsidRPr="00B852EF" w14:paraId="5C90E0BF" w14:textId="77777777" w:rsidTr="001E71E3">
        <w:trPr>
          <w:trHeight w:val="255"/>
          <w:jc w:val="center"/>
        </w:trPr>
        <w:tc>
          <w:tcPr>
            <w:tcW w:w="505" w:type="pct"/>
            <w:tcBorders>
              <w:top w:val="nil"/>
              <w:left w:val="single" w:sz="4" w:space="0" w:color="auto"/>
              <w:bottom w:val="single" w:sz="4" w:space="0" w:color="auto"/>
              <w:right w:val="single" w:sz="4" w:space="0" w:color="auto"/>
            </w:tcBorders>
            <w:shd w:val="clear" w:color="000000" w:fill="FFFFFF"/>
            <w:vAlign w:val="center"/>
          </w:tcPr>
          <w:p w14:paraId="3603251C" w14:textId="77777777" w:rsidR="00CF3957" w:rsidRPr="00EC1365" w:rsidRDefault="00CF3957" w:rsidP="001E71E3">
            <w:pPr>
              <w:pStyle w:val="Odlomakpopisa"/>
              <w:keepNext/>
              <w:numPr>
                <w:ilvl w:val="0"/>
                <w:numId w:val="10"/>
              </w:numPr>
              <w:rPr>
                <w:sz w:val="20"/>
                <w:szCs w:val="20"/>
              </w:rPr>
            </w:pPr>
          </w:p>
        </w:tc>
        <w:tc>
          <w:tcPr>
            <w:tcW w:w="3222" w:type="pct"/>
            <w:tcBorders>
              <w:top w:val="nil"/>
              <w:left w:val="single" w:sz="4" w:space="0" w:color="auto"/>
              <w:bottom w:val="single" w:sz="4" w:space="0" w:color="auto"/>
              <w:right w:val="single" w:sz="4" w:space="0" w:color="auto"/>
            </w:tcBorders>
            <w:shd w:val="clear" w:color="000000" w:fill="FFFFFF"/>
            <w:noWrap/>
            <w:vAlign w:val="center"/>
            <w:hideMark/>
          </w:tcPr>
          <w:p w14:paraId="31B38016" w14:textId="77777777" w:rsidR="00CF3957" w:rsidRPr="00EC1365" w:rsidRDefault="00CF3957" w:rsidP="001E71E3">
            <w:pPr>
              <w:keepNext/>
              <w:rPr>
                <w:sz w:val="20"/>
                <w:szCs w:val="20"/>
              </w:rPr>
            </w:pPr>
            <w:r w:rsidRPr="00EC1365">
              <w:rPr>
                <w:sz w:val="20"/>
                <w:szCs w:val="20"/>
              </w:rPr>
              <w:t>Beskamatni zajmovi općinskim proračunima kratkoročni</w:t>
            </w:r>
          </w:p>
        </w:tc>
        <w:tc>
          <w:tcPr>
            <w:tcW w:w="1272" w:type="pct"/>
            <w:tcBorders>
              <w:top w:val="nil"/>
              <w:left w:val="single" w:sz="4" w:space="0" w:color="auto"/>
              <w:bottom w:val="single" w:sz="4" w:space="0" w:color="auto"/>
              <w:right w:val="single" w:sz="4" w:space="0" w:color="auto"/>
            </w:tcBorders>
            <w:shd w:val="clear" w:color="000000" w:fill="FFFFFF"/>
            <w:noWrap/>
            <w:vAlign w:val="center"/>
            <w:hideMark/>
          </w:tcPr>
          <w:p w14:paraId="4E458875" w14:textId="77777777" w:rsidR="00CF3957" w:rsidRPr="00AC1AB7" w:rsidRDefault="00CF3957" w:rsidP="001E71E3">
            <w:pPr>
              <w:keepNext/>
              <w:jc w:val="right"/>
              <w:rPr>
                <w:sz w:val="20"/>
                <w:szCs w:val="20"/>
                <w:highlight w:val="lightGray"/>
              </w:rPr>
            </w:pPr>
            <w:r w:rsidRPr="00EC1365">
              <w:rPr>
                <w:sz w:val="20"/>
                <w:szCs w:val="20"/>
              </w:rPr>
              <w:t>32.333.512,89</w:t>
            </w:r>
          </w:p>
        </w:tc>
      </w:tr>
      <w:tr w:rsidR="00CF3957" w:rsidRPr="003B30B6" w14:paraId="68CE73DE" w14:textId="77777777" w:rsidTr="001E71E3">
        <w:trPr>
          <w:trHeight w:val="255"/>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3D0ADCF9" w14:textId="77777777" w:rsidR="00CF3957" w:rsidRPr="00EC1365" w:rsidRDefault="00CF3957" w:rsidP="001E71E3">
            <w:pPr>
              <w:pStyle w:val="Odlomakpopisa"/>
              <w:keepNext/>
              <w:numPr>
                <w:ilvl w:val="0"/>
                <w:numId w:val="10"/>
              </w:numPr>
              <w:rPr>
                <w:sz w:val="20"/>
                <w:szCs w:val="20"/>
              </w:rPr>
            </w:pPr>
          </w:p>
        </w:tc>
        <w:tc>
          <w:tcPr>
            <w:tcW w:w="32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C1146" w14:textId="77777777" w:rsidR="00CF3957" w:rsidRPr="00EC1365" w:rsidRDefault="00CF3957" w:rsidP="001E71E3">
            <w:pPr>
              <w:keepNext/>
              <w:rPr>
                <w:sz w:val="20"/>
                <w:szCs w:val="20"/>
              </w:rPr>
            </w:pPr>
            <w:r w:rsidRPr="00EC1365">
              <w:rPr>
                <w:sz w:val="20"/>
                <w:szCs w:val="20"/>
              </w:rPr>
              <w:t>Beskamatni zajmovi općinskim proračunima dugoročni</w:t>
            </w:r>
          </w:p>
        </w:tc>
        <w:tc>
          <w:tcPr>
            <w:tcW w:w="12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F9BF3" w14:textId="77777777" w:rsidR="00CF3957" w:rsidRPr="00AC1AB7" w:rsidRDefault="00CF3957" w:rsidP="001E71E3">
            <w:pPr>
              <w:keepNext/>
              <w:jc w:val="right"/>
              <w:rPr>
                <w:sz w:val="20"/>
                <w:szCs w:val="20"/>
                <w:highlight w:val="lightGray"/>
              </w:rPr>
            </w:pPr>
            <w:r w:rsidRPr="00EC1365">
              <w:rPr>
                <w:sz w:val="20"/>
                <w:szCs w:val="20"/>
              </w:rPr>
              <w:t>71.410.364,56</w:t>
            </w:r>
          </w:p>
        </w:tc>
      </w:tr>
      <w:tr w:rsidR="00CF3957" w:rsidRPr="003B30B6" w14:paraId="44ECAB52" w14:textId="77777777" w:rsidTr="001E71E3">
        <w:trPr>
          <w:trHeight w:val="255"/>
          <w:jc w:val="center"/>
        </w:trPr>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53400D80" w14:textId="77777777" w:rsidR="00CF3957" w:rsidRPr="00EC1365" w:rsidRDefault="00CF3957" w:rsidP="001E71E3">
            <w:pPr>
              <w:pStyle w:val="Odlomakpopisa"/>
              <w:keepNext/>
              <w:numPr>
                <w:ilvl w:val="0"/>
                <w:numId w:val="10"/>
              </w:numPr>
              <w:rPr>
                <w:sz w:val="20"/>
                <w:szCs w:val="20"/>
              </w:rPr>
            </w:pPr>
          </w:p>
        </w:tc>
        <w:tc>
          <w:tcPr>
            <w:tcW w:w="322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52B905" w14:textId="77777777" w:rsidR="00CF3957" w:rsidRPr="00EC1365" w:rsidRDefault="00CF3957" w:rsidP="001E71E3">
            <w:pPr>
              <w:keepNext/>
              <w:rPr>
                <w:sz w:val="20"/>
                <w:szCs w:val="20"/>
              </w:rPr>
            </w:pPr>
          </w:p>
        </w:tc>
        <w:tc>
          <w:tcPr>
            <w:tcW w:w="1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90E6A3" w14:textId="77777777" w:rsidR="00CF3957" w:rsidRPr="00F63DE0" w:rsidRDefault="00CF3957" w:rsidP="001E71E3">
            <w:pPr>
              <w:keepNext/>
              <w:jc w:val="right"/>
              <w:rPr>
                <w:b/>
                <w:sz w:val="20"/>
                <w:szCs w:val="20"/>
              </w:rPr>
            </w:pPr>
            <w:r w:rsidRPr="00F63DE0">
              <w:rPr>
                <w:b/>
                <w:sz w:val="20"/>
                <w:szCs w:val="20"/>
              </w:rPr>
              <w:t>833.162.795,83</w:t>
            </w:r>
          </w:p>
        </w:tc>
      </w:tr>
    </w:tbl>
    <w:p w14:paraId="467533CB" w14:textId="77777777" w:rsidR="00CF3957" w:rsidRPr="00B852EF" w:rsidRDefault="00CF3957" w:rsidP="00CF3957">
      <w:pPr>
        <w:pStyle w:val="Odlomakpopisa"/>
        <w:jc w:val="both"/>
        <w:rPr>
          <w:szCs w:val="20"/>
        </w:rPr>
      </w:pPr>
    </w:p>
    <w:p w14:paraId="1950C5C5" w14:textId="77777777" w:rsidR="00CF3957" w:rsidRPr="003B30B6" w:rsidRDefault="00CF3957" w:rsidP="00CF3957">
      <w:pPr>
        <w:keepNext/>
        <w:rPr>
          <w:bCs/>
          <w:sz w:val="28"/>
          <w:szCs w:val="28"/>
        </w:rPr>
      </w:pPr>
    </w:p>
    <w:p w14:paraId="4ABFD3EF" w14:textId="77777777" w:rsidR="00CF3957" w:rsidRPr="00B852EF" w:rsidRDefault="00CF3957" w:rsidP="00CF3957">
      <w:pPr>
        <w:keepNext/>
        <w:jc w:val="center"/>
        <w:rPr>
          <w:bCs/>
          <w:sz w:val="28"/>
          <w:szCs w:val="28"/>
        </w:rPr>
      </w:pPr>
      <w:r>
        <w:rPr>
          <w:bCs/>
          <w:sz w:val="28"/>
          <w:szCs w:val="28"/>
        </w:rPr>
        <w:t>Bilješka 10</w:t>
      </w:r>
      <w:r w:rsidRPr="00B852EF">
        <w:rPr>
          <w:bCs/>
          <w:sz w:val="28"/>
          <w:szCs w:val="28"/>
        </w:rPr>
        <w:t xml:space="preserve">. </w:t>
      </w:r>
    </w:p>
    <w:p w14:paraId="3C324899" w14:textId="77777777" w:rsidR="00CF3957" w:rsidRPr="00B852EF" w:rsidRDefault="00CF3957" w:rsidP="00CF3957">
      <w:pPr>
        <w:keepNext/>
        <w:jc w:val="center"/>
        <w:rPr>
          <w:bCs/>
          <w:sz w:val="28"/>
          <w:szCs w:val="28"/>
        </w:rPr>
      </w:pPr>
      <w:r>
        <w:rPr>
          <w:bCs/>
          <w:sz w:val="28"/>
          <w:szCs w:val="28"/>
        </w:rPr>
        <w:t>Šifra 1375</w:t>
      </w:r>
      <w:r w:rsidRPr="00B852EF">
        <w:rPr>
          <w:bCs/>
          <w:sz w:val="28"/>
          <w:szCs w:val="28"/>
        </w:rPr>
        <w:t xml:space="preserve"> Zajmovi HZMO-u, HZZ-u, HZZO-u i </w:t>
      </w:r>
      <w:r>
        <w:rPr>
          <w:bCs/>
          <w:sz w:val="28"/>
          <w:szCs w:val="28"/>
        </w:rPr>
        <w:t>šifra 1376</w:t>
      </w:r>
      <w:r w:rsidRPr="00B852EF">
        <w:rPr>
          <w:bCs/>
          <w:sz w:val="28"/>
          <w:szCs w:val="28"/>
        </w:rPr>
        <w:t xml:space="preserve"> Zajmovi ostalim izvanproračunskim korisnicima državnog proračuna</w:t>
      </w:r>
    </w:p>
    <w:p w14:paraId="7017E813" w14:textId="77777777" w:rsidR="00CF3957" w:rsidRDefault="00CF3957" w:rsidP="00CF3957">
      <w:pPr>
        <w:jc w:val="both"/>
      </w:pPr>
    </w:p>
    <w:p w14:paraId="602F2094" w14:textId="77777777" w:rsidR="00CF3957" w:rsidRPr="00B852EF" w:rsidRDefault="00CF3957" w:rsidP="00CF3957">
      <w:pPr>
        <w:spacing w:before="120" w:after="120"/>
        <w:jc w:val="both"/>
      </w:pPr>
      <w:r w:rsidRPr="00B852EF">
        <w:t>Potraživanja za dane zajmove HZMO-u, HZZ-u, HZZO</w:t>
      </w:r>
      <w:r>
        <w:t>-u na dan 31. prosinca 2022. godine (šifra 1375) iznosila su 810.366.916,91 kuna, i manja su za 27,9% u odnosu na početno stanje 2022. godine</w:t>
      </w:r>
      <w:r w:rsidRPr="00B852EF">
        <w:t xml:space="preserve">. </w:t>
      </w:r>
      <w:r w:rsidRPr="000F763F">
        <w:t>Navedena potraživanja odnose se na beskamatne zajmove isplaćene Hrvatskom zavodu za zdravstveno osiguranje temeljem odgode/obročne otplate te oslobođenja od plaćanja doprinosa u skladu s Naputkom o načinu isplate beskamatn</w:t>
      </w:r>
      <w:r>
        <w:t>og zajma JLP(R)S, HZMO i HZZO-u. Hrvatski zavod</w:t>
      </w:r>
      <w:r w:rsidRPr="000F763F">
        <w:t xml:space="preserve"> z</w:t>
      </w:r>
      <w:r>
        <w:t>a zdravstveno osiguranje iste je</w:t>
      </w:r>
      <w:r w:rsidRPr="000F763F">
        <w:t xml:space="preserve"> dužan vratiti u roku od tri godine, počevši od 2021. godine (oslobođenje od plaćanja).</w:t>
      </w:r>
    </w:p>
    <w:p w14:paraId="0B01BB64" w14:textId="77777777" w:rsidR="00CF3957" w:rsidRPr="003B30B6" w:rsidRDefault="00CF3957" w:rsidP="00CF3957">
      <w:pPr>
        <w:spacing w:before="120" w:after="120"/>
        <w:jc w:val="both"/>
      </w:pPr>
      <w:r w:rsidRPr="00B852EF">
        <w:t>Potraživanja za dane zajmove ostalim izvanproračunskim korisnicima državnog proračuna na dan 31. prosinca 202</w:t>
      </w:r>
      <w:r>
        <w:t>2</w:t>
      </w:r>
      <w:r w:rsidRPr="00B852EF">
        <w:t xml:space="preserve">. </w:t>
      </w:r>
      <w:r>
        <w:t xml:space="preserve">godine </w:t>
      </w:r>
      <w:r w:rsidRPr="00B852EF">
        <w:t xml:space="preserve">iznosila su </w:t>
      </w:r>
      <w:r>
        <w:t>9.796.541.513,09</w:t>
      </w:r>
      <w:r w:rsidRPr="00B852EF">
        <w:t xml:space="preserve"> </w:t>
      </w:r>
      <w:r w:rsidRPr="00B852EF">
        <w:rPr>
          <w:bCs/>
        </w:rPr>
        <w:t>kuna</w:t>
      </w:r>
      <w:r>
        <w:rPr>
          <w:bCs/>
        </w:rPr>
        <w:t xml:space="preserve"> (šifra 1376)</w:t>
      </w:r>
      <w:r w:rsidRPr="00B852EF">
        <w:t xml:space="preserve"> od čega se najveći dio odnosi na zajmove dane Hrvatskim autocestama d.o.o., Hrvatskim cestama d.o.o. te Autocesti Rijeka – Zagreb d.d</w:t>
      </w:r>
      <w:r>
        <w:t>.</w:t>
      </w:r>
      <w:r w:rsidRPr="00B852EF">
        <w:t xml:space="preserve"> i preostala su potraživanja za zajmove temeljem Sporazuma o međusobnim obvezama i potraživanjima s Centrom za restrukturiranje i prodaju.</w:t>
      </w:r>
      <w:r w:rsidRPr="003B30B6">
        <w:t xml:space="preserve"> </w:t>
      </w:r>
    </w:p>
    <w:p w14:paraId="5C7E94D6" w14:textId="77777777" w:rsidR="00CF3957" w:rsidRPr="003B30B6" w:rsidRDefault="00CF3957" w:rsidP="00CF3957">
      <w:pPr>
        <w:spacing w:before="120" w:after="120"/>
        <w:jc w:val="both"/>
      </w:pPr>
    </w:p>
    <w:p w14:paraId="7F20C7B4" w14:textId="77777777" w:rsidR="00CF3957" w:rsidRPr="00B852EF" w:rsidRDefault="00CF3957" w:rsidP="00CF3957">
      <w:pPr>
        <w:keepNext/>
        <w:jc w:val="center"/>
        <w:rPr>
          <w:sz w:val="28"/>
        </w:rPr>
      </w:pPr>
      <w:r>
        <w:rPr>
          <w:sz w:val="28"/>
        </w:rPr>
        <w:t>Bilješka 11</w:t>
      </w:r>
      <w:r w:rsidRPr="00B852EF">
        <w:rPr>
          <w:sz w:val="28"/>
        </w:rPr>
        <w:t>.</w:t>
      </w:r>
    </w:p>
    <w:p w14:paraId="279A4F29" w14:textId="77777777" w:rsidR="00CF3957" w:rsidRPr="00B852EF" w:rsidRDefault="00CF3957" w:rsidP="00CF3957">
      <w:pPr>
        <w:keepNext/>
        <w:jc w:val="center"/>
        <w:rPr>
          <w:sz w:val="28"/>
        </w:rPr>
      </w:pPr>
      <w:r>
        <w:rPr>
          <w:sz w:val="28"/>
        </w:rPr>
        <w:t>Šifra 1462</w:t>
      </w:r>
      <w:r w:rsidRPr="00B852EF">
        <w:rPr>
          <w:sz w:val="28"/>
        </w:rPr>
        <w:t xml:space="preserve"> Ostali vrijednosni papiri (inozemni)</w:t>
      </w:r>
    </w:p>
    <w:p w14:paraId="65DB9AA7" w14:textId="77777777" w:rsidR="00CF3957" w:rsidRDefault="00CF3957" w:rsidP="00CF3957">
      <w:pPr>
        <w:jc w:val="both"/>
      </w:pPr>
    </w:p>
    <w:p w14:paraId="34C8F2CD" w14:textId="77777777" w:rsidR="00CF3957" w:rsidRDefault="00CF3957" w:rsidP="00CF3957">
      <w:pPr>
        <w:jc w:val="both"/>
      </w:pPr>
      <w:r>
        <w:t>Na dan 31. prosinca 2022. godine vrijednost ostalih vrijednosnih papira u iznosu</w:t>
      </w:r>
      <w:r w:rsidRPr="00B852EF">
        <w:t xml:space="preserve"> od </w:t>
      </w:r>
      <w:r>
        <w:t>28.849.176,76</w:t>
      </w:r>
      <w:r w:rsidRPr="00B852EF">
        <w:t xml:space="preserve"> </w:t>
      </w:r>
      <w:r w:rsidRPr="00B852EF">
        <w:rPr>
          <w:bCs/>
        </w:rPr>
        <w:t>kuna</w:t>
      </w:r>
      <w:r w:rsidRPr="00B852EF">
        <w:t xml:space="preserve"> </w:t>
      </w:r>
      <w:r w:rsidRPr="000F763F">
        <w:t>odnosi se na investicijski fond - J.P. Morgan Fleming</w:t>
      </w:r>
      <w:r>
        <w:t>, a povećanje u iznosu od 7,6% u odnosu na početno stanje odnosi se na vrijednosno usklađenje s 31. prosinca 2022</w:t>
      </w:r>
      <w:r w:rsidRPr="000F763F">
        <w:t>.</w:t>
      </w:r>
    </w:p>
    <w:p w14:paraId="1C177F29" w14:textId="77777777" w:rsidR="00CF3957" w:rsidRPr="003B30B6" w:rsidRDefault="00CF3957" w:rsidP="00CF3957">
      <w:pPr>
        <w:jc w:val="both"/>
      </w:pPr>
    </w:p>
    <w:p w14:paraId="4C7615D2" w14:textId="77777777" w:rsidR="00CF3957" w:rsidRPr="00B852EF" w:rsidRDefault="00CF3957" w:rsidP="00CF3957">
      <w:pPr>
        <w:keepNext/>
        <w:jc w:val="center"/>
        <w:rPr>
          <w:sz w:val="28"/>
        </w:rPr>
      </w:pPr>
      <w:r>
        <w:rPr>
          <w:sz w:val="28"/>
        </w:rPr>
        <w:t>Bilješka 12</w:t>
      </w:r>
      <w:r w:rsidRPr="00B852EF">
        <w:rPr>
          <w:sz w:val="28"/>
        </w:rPr>
        <w:t>.</w:t>
      </w:r>
    </w:p>
    <w:p w14:paraId="692FEF88" w14:textId="77777777" w:rsidR="00CF3957" w:rsidRPr="00B852EF" w:rsidRDefault="00CF3957" w:rsidP="00CF3957">
      <w:pPr>
        <w:keepNext/>
        <w:jc w:val="center"/>
        <w:rPr>
          <w:sz w:val="28"/>
        </w:rPr>
      </w:pPr>
      <w:r>
        <w:rPr>
          <w:sz w:val="28"/>
        </w:rPr>
        <w:t>Šifra 1541</w:t>
      </w:r>
      <w:r w:rsidRPr="00B852EF">
        <w:rPr>
          <w:sz w:val="28"/>
        </w:rPr>
        <w:t xml:space="preserve"> Dionice i udjeli u glavnici trgovačkih društava </w:t>
      </w:r>
      <w:r>
        <w:rPr>
          <w:sz w:val="28"/>
        </w:rPr>
        <w:t>izvan</w:t>
      </w:r>
      <w:r w:rsidRPr="00B852EF">
        <w:rPr>
          <w:sz w:val="28"/>
        </w:rPr>
        <w:t xml:space="preserve"> javno</w:t>
      </w:r>
      <w:r>
        <w:rPr>
          <w:sz w:val="28"/>
        </w:rPr>
        <w:t>g</w:t>
      </w:r>
      <w:r w:rsidRPr="00B852EF">
        <w:rPr>
          <w:sz w:val="28"/>
        </w:rPr>
        <w:t xml:space="preserve"> sektor</w:t>
      </w:r>
      <w:r>
        <w:rPr>
          <w:sz w:val="28"/>
        </w:rPr>
        <w:t>a</w:t>
      </w:r>
    </w:p>
    <w:p w14:paraId="6F0510DD" w14:textId="77777777" w:rsidR="00CF3957" w:rsidRDefault="00CF3957" w:rsidP="00CF3957">
      <w:pPr>
        <w:jc w:val="both"/>
      </w:pPr>
    </w:p>
    <w:p w14:paraId="3064F409" w14:textId="77777777" w:rsidR="00CF3957" w:rsidRDefault="00CF3957" w:rsidP="00CF3957">
      <w:pPr>
        <w:jc w:val="both"/>
      </w:pPr>
      <w:r w:rsidRPr="00961242">
        <w:t xml:space="preserve">Stanje na dan 31. prosinca 2022. godine u iznosu od 101.000.000,00 </w:t>
      </w:r>
      <w:r w:rsidRPr="00961242">
        <w:rPr>
          <w:bCs/>
        </w:rPr>
        <w:t>kuna</w:t>
      </w:r>
      <w:r w:rsidRPr="00961242">
        <w:t xml:space="preserve"> odnosi se na stjecanje udjela u temeljnom kapitalu i rezervama društva Đuro Đaković Grupa d.d., Slavonski Brod i</w:t>
      </w:r>
      <w:r>
        <w:t xml:space="preserve"> društva</w:t>
      </w:r>
      <w:r w:rsidRPr="00961242">
        <w:t xml:space="preserve"> Đuro Đaković Specijalna vozila d.d., Slavonski Brod</w:t>
      </w:r>
      <w:r>
        <w:t>.</w:t>
      </w:r>
    </w:p>
    <w:p w14:paraId="2BF2B997" w14:textId="77777777" w:rsidR="00CF3957" w:rsidRDefault="00CF3957" w:rsidP="00CF3957">
      <w:pPr>
        <w:jc w:val="center"/>
        <w:rPr>
          <w:sz w:val="28"/>
        </w:rPr>
      </w:pPr>
    </w:p>
    <w:p w14:paraId="19C691CD" w14:textId="77777777" w:rsidR="00CF3957" w:rsidRPr="00B852EF" w:rsidRDefault="00CF3957" w:rsidP="00CF3957">
      <w:pPr>
        <w:jc w:val="center"/>
        <w:rPr>
          <w:sz w:val="28"/>
        </w:rPr>
      </w:pPr>
      <w:r>
        <w:rPr>
          <w:sz w:val="28"/>
        </w:rPr>
        <w:t>Bilješka 13</w:t>
      </w:r>
      <w:r w:rsidRPr="00B852EF">
        <w:rPr>
          <w:sz w:val="28"/>
        </w:rPr>
        <w:t>.</w:t>
      </w:r>
    </w:p>
    <w:p w14:paraId="71D424EF" w14:textId="77777777" w:rsidR="00CF3957" w:rsidRPr="00B852EF" w:rsidRDefault="00CF3957" w:rsidP="00CF3957">
      <w:pPr>
        <w:jc w:val="center"/>
        <w:rPr>
          <w:sz w:val="28"/>
        </w:rPr>
      </w:pPr>
      <w:r>
        <w:rPr>
          <w:sz w:val="28"/>
        </w:rPr>
        <w:t>Šifra 1532</w:t>
      </w:r>
      <w:r w:rsidRPr="00B852EF">
        <w:rPr>
          <w:sz w:val="28"/>
        </w:rPr>
        <w:t xml:space="preserve"> Dionice i udjeli u glavnici inozemnih kreditnih i ostalih financijskih institucija</w:t>
      </w:r>
    </w:p>
    <w:p w14:paraId="7299DF41" w14:textId="77777777" w:rsidR="00CF3957" w:rsidRDefault="00CF3957" w:rsidP="00CF3957">
      <w:pPr>
        <w:jc w:val="both"/>
      </w:pPr>
    </w:p>
    <w:p w14:paraId="1416B953" w14:textId="77777777" w:rsidR="00CF3957" w:rsidRPr="00B852EF" w:rsidRDefault="00CF3957" w:rsidP="00CF3957">
      <w:pPr>
        <w:jc w:val="both"/>
      </w:pPr>
      <w:r>
        <w:t>Stanje na dan 31. prosinca 2022. godine iznosi</w:t>
      </w:r>
      <w:r w:rsidRPr="00B852EF">
        <w:t xml:space="preserve"> 1.</w:t>
      </w:r>
      <w:r>
        <w:t>457.197.392,80</w:t>
      </w:r>
      <w:r w:rsidRPr="00B852EF">
        <w:t xml:space="preserve"> </w:t>
      </w:r>
      <w:r w:rsidRPr="00B852EF">
        <w:rPr>
          <w:bCs/>
        </w:rPr>
        <w:t>kuna</w:t>
      </w:r>
      <w:r w:rsidRPr="00B852EF">
        <w:t xml:space="preserve"> </w:t>
      </w:r>
      <w:r>
        <w:t xml:space="preserve">i veće je za 19,7% u odnosu na početno stanje 2022. godine, a </w:t>
      </w:r>
      <w:r w:rsidRPr="00B852EF">
        <w:t>odnosi se na članski kapital u bankama IBRD, IDA, IFC, MIGA, EIB, EBRD, IDB, CEB i IIC</w:t>
      </w:r>
      <w:r>
        <w:t xml:space="preserve"> u i</w:t>
      </w:r>
      <w:r w:rsidRPr="00B852EF">
        <w:t>znos</w:t>
      </w:r>
      <w:r>
        <w:t>u</w:t>
      </w:r>
      <w:r w:rsidRPr="00B852EF">
        <w:t xml:space="preserve"> od</w:t>
      </w:r>
      <w:r>
        <w:t xml:space="preserve"> 1.374.761.854,00 </w:t>
      </w:r>
      <w:r w:rsidRPr="00B852EF">
        <w:rPr>
          <w:bCs/>
        </w:rPr>
        <w:t>kuna</w:t>
      </w:r>
      <w:r>
        <w:t xml:space="preserve"> i ulaganje Republike Hrvatske u Investicijski fond Inicijative triju mora </w:t>
      </w:r>
      <w:r w:rsidRPr="000253AB">
        <w:t>temeljem Odluke Vlade Republike Hrvatske od 14. listopada 2020. godine</w:t>
      </w:r>
      <w:r>
        <w:t xml:space="preserve"> u iznosu od 82.435.538,80 kuna. </w:t>
      </w:r>
    </w:p>
    <w:p w14:paraId="46D0709B" w14:textId="77777777" w:rsidR="00CF3957" w:rsidRPr="00AB66A4" w:rsidRDefault="00CF3957" w:rsidP="00CF3957">
      <w:pPr>
        <w:jc w:val="both"/>
        <w:rPr>
          <w:highlight w:val="lightGray"/>
        </w:rPr>
      </w:pPr>
    </w:p>
    <w:p w14:paraId="457CC0C7" w14:textId="77777777" w:rsidR="00CF3957" w:rsidRPr="00B852EF" w:rsidRDefault="00CF3957" w:rsidP="00CF3957">
      <w:pPr>
        <w:jc w:val="both"/>
      </w:pPr>
      <w:r>
        <w:t>Stanje na dan 31. prosinca 2022. u i</w:t>
      </w:r>
      <w:r w:rsidRPr="00B852EF">
        <w:t>znos</w:t>
      </w:r>
      <w:r>
        <w:t>u</w:t>
      </w:r>
      <w:r w:rsidRPr="00B852EF">
        <w:t xml:space="preserve"> od</w:t>
      </w:r>
      <w:r>
        <w:t xml:space="preserve"> 1.374.761.854,00 </w:t>
      </w:r>
      <w:r w:rsidRPr="00B852EF">
        <w:rPr>
          <w:bCs/>
        </w:rPr>
        <w:t>kuna</w:t>
      </w:r>
      <w:r w:rsidRPr="00B852EF">
        <w:t xml:space="preserve"> odnosi se na članski kapital</w:t>
      </w:r>
      <w:r>
        <w:t xml:space="preserve"> RH u sljedećim međunarodnim financijskim institucijama: Međunarodna banka za obnovu i razvoj (IBRD), Međunarodno udruženje za razvoj (IDA), Međunarodna financijska korporacija (IFC), Multilateralna agencija za osiguranje investicija (MIGA), Europska investicijska banka (EIB), Europska banka za obnovu i razvoj (EBRD), Razvojna banka Vijeća Europe (CEB), Inter-američka banka za razvoj (IDB), Inter-američka investicijska korporacija (IIC) i Azijska infrastrukturna investicijska banka (AIIB).</w:t>
      </w:r>
    </w:p>
    <w:p w14:paraId="5DFC5D4B" w14:textId="77777777" w:rsidR="00CF3957" w:rsidRPr="00AB66A4" w:rsidRDefault="00CF3957" w:rsidP="00CF3957">
      <w:pPr>
        <w:jc w:val="both"/>
        <w:rPr>
          <w:highlight w:val="lightGray"/>
        </w:rPr>
      </w:pPr>
    </w:p>
    <w:p w14:paraId="3593FFA2" w14:textId="77777777" w:rsidR="00CF3957" w:rsidRPr="009A1D77" w:rsidRDefault="00CF3957" w:rsidP="00CF3957">
      <w:pPr>
        <w:jc w:val="both"/>
        <w:rPr>
          <w:b/>
          <w:sz w:val="20"/>
          <w:szCs w:val="20"/>
        </w:rPr>
      </w:pPr>
      <w:r w:rsidRPr="009A1D77">
        <w:rPr>
          <w:b/>
          <w:sz w:val="20"/>
          <w:szCs w:val="20"/>
        </w:rPr>
        <w:tab/>
        <w:t xml:space="preserve">Tablica 3. </w:t>
      </w:r>
    </w:p>
    <w:tbl>
      <w:tblPr>
        <w:tblW w:w="8600" w:type="dxa"/>
        <w:jc w:val="center"/>
        <w:tblLook w:val="04A0" w:firstRow="1" w:lastRow="0" w:firstColumn="1" w:lastColumn="0" w:noHBand="0" w:noVBand="1"/>
      </w:tblPr>
      <w:tblGrid>
        <w:gridCol w:w="840"/>
        <w:gridCol w:w="2500"/>
        <w:gridCol w:w="2320"/>
        <w:gridCol w:w="1466"/>
        <w:gridCol w:w="1616"/>
      </w:tblGrid>
      <w:tr w:rsidR="00CF3957" w:rsidRPr="009A1D77" w14:paraId="69E3CB6B" w14:textId="77777777" w:rsidTr="001E71E3">
        <w:trPr>
          <w:trHeight w:val="63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2A739" w14:textId="77777777" w:rsidR="00CF3957" w:rsidRPr="009A1D77" w:rsidRDefault="00CF3957" w:rsidP="001E71E3">
            <w:pPr>
              <w:jc w:val="center"/>
              <w:rPr>
                <w:b/>
                <w:bCs/>
                <w:sz w:val="20"/>
                <w:szCs w:val="20"/>
              </w:rPr>
            </w:pPr>
            <w:r w:rsidRPr="009A1D77">
              <w:rPr>
                <w:b/>
                <w:bCs/>
                <w:sz w:val="20"/>
                <w:szCs w:val="20"/>
              </w:rPr>
              <w:t>Red. broj</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0B95E01F" w14:textId="77777777" w:rsidR="00CF3957" w:rsidRPr="009A1D77" w:rsidRDefault="00CF3957" w:rsidP="001E71E3">
            <w:pPr>
              <w:jc w:val="center"/>
              <w:rPr>
                <w:b/>
                <w:bCs/>
                <w:sz w:val="20"/>
                <w:szCs w:val="20"/>
              </w:rPr>
            </w:pPr>
            <w:r w:rsidRPr="009A1D77">
              <w:rPr>
                <w:b/>
                <w:bCs/>
                <w:sz w:val="20"/>
                <w:szCs w:val="20"/>
              </w:rPr>
              <w:t>Naziv</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FC3B166" w14:textId="77777777" w:rsidR="00CF3957" w:rsidRPr="009A1D77" w:rsidRDefault="00CF3957" w:rsidP="001E71E3">
            <w:pPr>
              <w:jc w:val="center"/>
              <w:rPr>
                <w:b/>
                <w:bCs/>
                <w:sz w:val="20"/>
                <w:szCs w:val="20"/>
              </w:rPr>
            </w:pPr>
            <w:r w:rsidRPr="009A1D77">
              <w:rPr>
                <w:b/>
                <w:bCs/>
                <w:sz w:val="20"/>
                <w:szCs w:val="20"/>
              </w:rPr>
              <w:t>Valuta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1794901" w14:textId="77777777" w:rsidR="00CF3957" w:rsidRPr="009A1D77" w:rsidRDefault="00CF3957" w:rsidP="001E71E3">
            <w:pPr>
              <w:jc w:val="center"/>
              <w:rPr>
                <w:b/>
                <w:bCs/>
                <w:sz w:val="20"/>
                <w:szCs w:val="20"/>
              </w:rPr>
            </w:pPr>
            <w:r>
              <w:rPr>
                <w:b/>
                <w:bCs/>
                <w:sz w:val="20"/>
                <w:szCs w:val="20"/>
              </w:rPr>
              <w:t>Stanje na dan 31.12.2022</w:t>
            </w:r>
            <w:r w:rsidRPr="009A1D77">
              <w:rPr>
                <w:b/>
                <w:bCs/>
                <w:sz w:val="20"/>
                <w:szCs w:val="20"/>
              </w:rPr>
              <w:t>.  (</w:t>
            </w:r>
            <w:proofErr w:type="spellStart"/>
            <w:r w:rsidRPr="009A1D77">
              <w:rPr>
                <w:b/>
                <w:bCs/>
                <w:sz w:val="20"/>
                <w:szCs w:val="20"/>
              </w:rPr>
              <w:t>org.val</w:t>
            </w:r>
            <w:proofErr w:type="spellEnd"/>
            <w:r w:rsidRPr="009A1D77">
              <w:rPr>
                <w:b/>
                <w:bCs/>
                <w:sz w:val="20"/>
                <w:szCs w:val="20"/>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4F298FD" w14:textId="77777777" w:rsidR="00CF3957" w:rsidRPr="009A1D77" w:rsidRDefault="00CF3957" w:rsidP="001E71E3">
            <w:pPr>
              <w:jc w:val="center"/>
              <w:rPr>
                <w:b/>
                <w:bCs/>
                <w:sz w:val="20"/>
                <w:szCs w:val="20"/>
              </w:rPr>
            </w:pPr>
            <w:r>
              <w:rPr>
                <w:b/>
                <w:bCs/>
                <w:sz w:val="20"/>
                <w:szCs w:val="20"/>
              </w:rPr>
              <w:t>Stanje na 31.12.2022</w:t>
            </w:r>
            <w:r w:rsidRPr="009A1D77">
              <w:rPr>
                <w:b/>
                <w:bCs/>
                <w:sz w:val="20"/>
                <w:szCs w:val="20"/>
              </w:rPr>
              <w:t>. u kunama</w:t>
            </w:r>
          </w:p>
        </w:tc>
      </w:tr>
      <w:tr w:rsidR="00CF3957" w:rsidRPr="009A1D77" w14:paraId="6F1A7A71"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2FFB9D6" w14:textId="77777777" w:rsidR="00CF3957" w:rsidRPr="009A1D77" w:rsidRDefault="00CF3957" w:rsidP="001E71E3">
            <w:pPr>
              <w:jc w:val="center"/>
              <w:rPr>
                <w:sz w:val="20"/>
                <w:szCs w:val="20"/>
              </w:rPr>
            </w:pPr>
            <w:r w:rsidRPr="009A1D77">
              <w:rPr>
                <w:sz w:val="20"/>
                <w:szCs w:val="20"/>
              </w:rPr>
              <w:t>1</w:t>
            </w:r>
          </w:p>
        </w:tc>
        <w:tc>
          <w:tcPr>
            <w:tcW w:w="2500" w:type="dxa"/>
            <w:tcBorders>
              <w:top w:val="nil"/>
              <w:left w:val="nil"/>
              <w:bottom w:val="single" w:sz="4" w:space="0" w:color="auto"/>
              <w:right w:val="single" w:sz="4" w:space="0" w:color="auto"/>
            </w:tcBorders>
            <w:shd w:val="clear" w:color="auto" w:fill="auto"/>
            <w:noWrap/>
            <w:vAlign w:val="center"/>
            <w:hideMark/>
          </w:tcPr>
          <w:p w14:paraId="07892B26" w14:textId="77777777" w:rsidR="00CF3957" w:rsidRPr="009A1D77" w:rsidRDefault="00CF3957" w:rsidP="001E71E3">
            <w:pPr>
              <w:rPr>
                <w:sz w:val="20"/>
                <w:szCs w:val="20"/>
              </w:rPr>
            </w:pPr>
            <w:r w:rsidRPr="009A1D77">
              <w:rPr>
                <w:sz w:val="20"/>
                <w:szCs w:val="20"/>
              </w:rPr>
              <w:t>IBRD*</w:t>
            </w:r>
          </w:p>
        </w:tc>
        <w:tc>
          <w:tcPr>
            <w:tcW w:w="2320" w:type="dxa"/>
            <w:tcBorders>
              <w:top w:val="nil"/>
              <w:left w:val="nil"/>
              <w:bottom w:val="single" w:sz="4" w:space="0" w:color="auto"/>
              <w:right w:val="single" w:sz="4" w:space="0" w:color="auto"/>
            </w:tcBorders>
            <w:shd w:val="clear" w:color="auto" w:fill="auto"/>
            <w:vAlign w:val="center"/>
            <w:hideMark/>
          </w:tcPr>
          <w:p w14:paraId="34491391" w14:textId="77777777" w:rsidR="00CF3957" w:rsidRPr="009A1D77" w:rsidRDefault="00CF3957" w:rsidP="001E71E3">
            <w:pPr>
              <w:jc w:val="center"/>
              <w:rPr>
                <w:sz w:val="20"/>
                <w:szCs w:val="20"/>
              </w:rPr>
            </w:pPr>
            <w:r w:rsidRPr="009A1D77">
              <w:rPr>
                <w:sz w:val="20"/>
                <w:szCs w:val="20"/>
              </w:rPr>
              <w:t>USD</w:t>
            </w:r>
          </w:p>
        </w:tc>
        <w:tc>
          <w:tcPr>
            <w:tcW w:w="1340" w:type="dxa"/>
            <w:tcBorders>
              <w:top w:val="nil"/>
              <w:left w:val="nil"/>
              <w:bottom w:val="single" w:sz="4" w:space="0" w:color="auto"/>
              <w:right w:val="single" w:sz="4" w:space="0" w:color="auto"/>
            </w:tcBorders>
            <w:shd w:val="clear" w:color="auto" w:fill="auto"/>
            <w:vAlign w:val="center"/>
            <w:hideMark/>
          </w:tcPr>
          <w:p w14:paraId="72807571" w14:textId="77777777" w:rsidR="00CF3957" w:rsidRPr="009A1D77" w:rsidRDefault="00CF3957" w:rsidP="001E71E3">
            <w:pPr>
              <w:jc w:val="right"/>
              <w:rPr>
                <w:sz w:val="20"/>
                <w:szCs w:val="20"/>
              </w:rPr>
            </w:pPr>
            <w:r w:rsidRPr="00D42D9D">
              <w:rPr>
                <w:sz w:val="20"/>
                <w:szCs w:val="20"/>
              </w:rPr>
              <w:t>28.224.970,95</w:t>
            </w:r>
          </w:p>
        </w:tc>
        <w:tc>
          <w:tcPr>
            <w:tcW w:w="1600" w:type="dxa"/>
            <w:tcBorders>
              <w:top w:val="nil"/>
              <w:left w:val="nil"/>
              <w:bottom w:val="single" w:sz="4" w:space="0" w:color="auto"/>
              <w:right w:val="single" w:sz="4" w:space="0" w:color="auto"/>
            </w:tcBorders>
            <w:shd w:val="clear" w:color="auto" w:fill="auto"/>
            <w:vAlign w:val="center"/>
            <w:hideMark/>
          </w:tcPr>
          <w:p w14:paraId="4526731A" w14:textId="77777777" w:rsidR="00CF3957" w:rsidRPr="009A1D77" w:rsidRDefault="00CF3957" w:rsidP="001E71E3">
            <w:pPr>
              <w:jc w:val="right"/>
              <w:rPr>
                <w:sz w:val="20"/>
                <w:szCs w:val="20"/>
              </w:rPr>
            </w:pPr>
            <w:r w:rsidRPr="00B62454">
              <w:rPr>
                <w:sz w:val="20"/>
                <w:szCs w:val="20"/>
              </w:rPr>
              <w:t>199.382.323,79</w:t>
            </w:r>
          </w:p>
        </w:tc>
      </w:tr>
      <w:tr w:rsidR="00CF3957" w:rsidRPr="009A1D77" w14:paraId="0BA3DCF9"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5D8449F" w14:textId="77777777" w:rsidR="00CF3957" w:rsidRPr="009A1D77" w:rsidRDefault="00CF3957" w:rsidP="001E71E3">
            <w:pPr>
              <w:jc w:val="center"/>
              <w:rPr>
                <w:sz w:val="20"/>
                <w:szCs w:val="20"/>
              </w:rPr>
            </w:pPr>
            <w:r w:rsidRPr="009A1D77">
              <w:rPr>
                <w:sz w:val="20"/>
                <w:szCs w:val="20"/>
              </w:rPr>
              <w:t>2</w:t>
            </w:r>
          </w:p>
        </w:tc>
        <w:tc>
          <w:tcPr>
            <w:tcW w:w="2500" w:type="dxa"/>
            <w:tcBorders>
              <w:top w:val="nil"/>
              <w:left w:val="nil"/>
              <w:bottom w:val="single" w:sz="4" w:space="0" w:color="auto"/>
              <w:right w:val="single" w:sz="4" w:space="0" w:color="auto"/>
            </w:tcBorders>
            <w:shd w:val="clear" w:color="auto" w:fill="auto"/>
            <w:noWrap/>
            <w:vAlign w:val="center"/>
            <w:hideMark/>
          </w:tcPr>
          <w:p w14:paraId="34CD8677" w14:textId="77777777" w:rsidR="00CF3957" w:rsidRPr="009A1D77" w:rsidRDefault="00CF3957" w:rsidP="001E71E3">
            <w:pPr>
              <w:rPr>
                <w:sz w:val="20"/>
                <w:szCs w:val="20"/>
              </w:rPr>
            </w:pPr>
            <w:r w:rsidRPr="009A1D77">
              <w:rPr>
                <w:sz w:val="20"/>
                <w:szCs w:val="20"/>
              </w:rPr>
              <w:t>IDA**</w:t>
            </w:r>
          </w:p>
        </w:tc>
        <w:tc>
          <w:tcPr>
            <w:tcW w:w="2320" w:type="dxa"/>
            <w:tcBorders>
              <w:top w:val="nil"/>
              <w:left w:val="nil"/>
              <w:bottom w:val="single" w:sz="4" w:space="0" w:color="auto"/>
              <w:right w:val="single" w:sz="4" w:space="0" w:color="auto"/>
            </w:tcBorders>
            <w:shd w:val="clear" w:color="auto" w:fill="auto"/>
            <w:vAlign w:val="center"/>
            <w:hideMark/>
          </w:tcPr>
          <w:p w14:paraId="4BAC62FD" w14:textId="77777777" w:rsidR="00CF3957" w:rsidRPr="009A1D77" w:rsidRDefault="00CF3957" w:rsidP="001E71E3">
            <w:pPr>
              <w:jc w:val="center"/>
              <w:rPr>
                <w:sz w:val="20"/>
                <w:szCs w:val="20"/>
              </w:rPr>
            </w:pPr>
            <w:r w:rsidRPr="009A1D77">
              <w:rPr>
                <w:sz w:val="20"/>
                <w:szCs w:val="20"/>
              </w:rPr>
              <w:t>USD</w:t>
            </w:r>
          </w:p>
        </w:tc>
        <w:tc>
          <w:tcPr>
            <w:tcW w:w="1340" w:type="dxa"/>
            <w:tcBorders>
              <w:top w:val="nil"/>
              <w:left w:val="nil"/>
              <w:bottom w:val="single" w:sz="4" w:space="0" w:color="auto"/>
              <w:right w:val="single" w:sz="4" w:space="0" w:color="auto"/>
            </w:tcBorders>
            <w:shd w:val="clear" w:color="auto" w:fill="auto"/>
            <w:vAlign w:val="center"/>
            <w:hideMark/>
          </w:tcPr>
          <w:p w14:paraId="2F5E62FF" w14:textId="77777777" w:rsidR="00CF3957" w:rsidRPr="009A1D77" w:rsidRDefault="00CF3957" w:rsidP="001E71E3">
            <w:pPr>
              <w:jc w:val="right"/>
              <w:rPr>
                <w:sz w:val="20"/>
                <w:szCs w:val="20"/>
              </w:rPr>
            </w:pPr>
            <w:r w:rsidRPr="00D42D9D">
              <w:rPr>
                <w:sz w:val="20"/>
                <w:szCs w:val="20"/>
              </w:rPr>
              <w:t>5.904.927,00</w:t>
            </w:r>
          </w:p>
        </w:tc>
        <w:tc>
          <w:tcPr>
            <w:tcW w:w="1600" w:type="dxa"/>
            <w:tcBorders>
              <w:top w:val="nil"/>
              <w:left w:val="nil"/>
              <w:bottom w:val="single" w:sz="4" w:space="0" w:color="auto"/>
              <w:right w:val="single" w:sz="4" w:space="0" w:color="auto"/>
            </w:tcBorders>
            <w:shd w:val="clear" w:color="auto" w:fill="auto"/>
            <w:vAlign w:val="center"/>
            <w:hideMark/>
          </w:tcPr>
          <w:p w14:paraId="5308975E" w14:textId="77777777" w:rsidR="00CF3957" w:rsidRPr="009A1D77" w:rsidRDefault="00CF3957" w:rsidP="001E71E3">
            <w:pPr>
              <w:jc w:val="right"/>
              <w:rPr>
                <w:sz w:val="20"/>
                <w:szCs w:val="20"/>
              </w:rPr>
            </w:pPr>
            <w:r w:rsidRPr="00B62454">
              <w:rPr>
                <w:sz w:val="20"/>
                <w:szCs w:val="20"/>
              </w:rPr>
              <w:t>41.712.640,53</w:t>
            </w:r>
          </w:p>
        </w:tc>
      </w:tr>
      <w:tr w:rsidR="00CF3957" w:rsidRPr="009A1D77" w14:paraId="58A49005"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860FE8C" w14:textId="77777777" w:rsidR="00CF3957" w:rsidRPr="009A1D77" w:rsidRDefault="00CF3957" w:rsidP="001E71E3">
            <w:pPr>
              <w:jc w:val="center"/>
              <w:rPr>
                <w:sz w:val="20"/>
                <w:szCs w:val="20"/>
              </w:rPr>
            </w:pPr>
            <w:r w:rsidRPr="009A1D77">
              <w:rPr>
                <w:sz w:val="20"/>
                <w:szCs w:val="20"/>
              </w:rPr>
              <w:t>3</w:t>
            </w:r>
          </w:p>
        </w:tc>
        <w:tc>
          <w:tcPr>
            <w:tcW w:w="2500" w:type="dxa"/>
            <w:tcBorders>
              <w:top w:val="nil"/>
              <w:left w:val="nil"/>
              <w:bottom w:val="single" w:sz="4" w:space="0" w:color="auto"/>
              <w:right w:val="single" w:sz="4" w:space="0" w:color="auto"/>
            </w:tcBorders>
            <w:shd w:val="clear" w:color="auto" w:fill="auto"/>
            <w:noWrap/>
            <w:vAlign w:val="center"/>
            <w:hideMark/>
          </w:tcPr>
          <w:p w14:paraId="2C11FC47" w14:textId="77777777" w:rsidR="00CF3957" w:rsidRPr="009A1D77" w:rsidRDefault="00CF3957" w:rsidP="001E71E3">
            <w:pPr>
              <w:rPr>
                <w:sz w:val="20"/>
                <w:szCs w:val="20"/>
              </w:rPr>
            </w:pPr>
            <w:r w:rsidRPr="009A1D77">
              <w:rPr>
                <w:sz w:val="20"/>
                <w:szCs w:val="20"/>
              </w:rPr>
              <w:t>IFC</w:t>
            </w:r>
          </w:p>
        </w:tc>
        <w:tc>
          <w:tcPr>
            <w:tcW w:w="2320" w:type="dxa"/>
            <w:tcBorders>
              <w:top w:val="nil"/>
              <w:left w:val="nil"/>
              <w:bottom w:val="single" w:sz="4" w:space="0" w:color="auto"/>
              <w:right w:val="single" w:sz="4" w:space="0" w:color="auto"/>
            </w:tcBorders>
            <w:shd w:val="clear" w:color="auto" w:fill="auto"/>
            <w:noWrap/>
            <w:vAlign w:val="center"/>
            <w:hideMark/>
          </w:tcPr>
          <w:p w14:paraId="49080B35" w14:textId="77777777" w:rsidR="00CF3957" w:rsidRPr="009A1D77" w:rsidRDefault="00CF3957" w:rsidP="001E71E3">
            <w:pPr>
              <w:jc w:val="center"/>
              <w:rPr>
                <w:sz w:val="20"/>
                <w:szCs w:val="20"/>
              </w:rPr>
            </w:pPr>
            <w:r w:rsidRPr="009A1D77">
              <w:rPr>
                <w:sz w:val="20"/>
                <w:szCs w:val="20"/>
              </w:rPr>
              <w:t>USD</w:t>
            </w:r>
          </w:p>
        </w:tc>
        <w:tc>
          <w:tcPr>
            <w:tcW w:w="1340" w:type="dxa"/>
            <w:tcBorders>
              <w:top w:val="nil"/>
              <w:left w:val="nil"/>
              <w:bottom w:val="single" w:sz="4" w:space="0" w:color="auto"/>
              <w:right w:val="single" w:sz="4" w:space="0" w:color="auto"/>
            </w:tcBorders>
            <w:shd w:val="clear" w:color="auto" w:fill="auto"/>
            <w:noWrap/>
            <w:vAlign w:val="center"/>
            <w:hideMark/>
          </w:tcPr>
          <w:p w14:paraId="54A2BACE" w14:textId="77777777" w:rsidR="00CF3957" w:rsidRPr="009A1D77" w:rsidRDefault="00CF3957" w:rsidP="001E71E3">
            <w:pPr>
              <w:jc w:val="right"/>
              <w:rPr>
                <w:sz w:val="20"/>
                <w:szCs w:val="20"/>
              </w:rPr>
            </w:pPr>
            <w:r w:rsidRPr="009A1D77">
              <w:rPr>
                <w:sz w:val="20"/>
                <w:szCs w:val="20"/>
              </w:rPr>
              <w:t>24.794.000,00</w:t>
            </w:r>
          </w:p>
        </w:tc>
        <w:tc>
          <w:tcPr>
            <w:tcW w:w="1600" w:type="dxa"/>
            <w:tcBorders>
              <w:top w:val="nil"/>
              <w:left w:val="nil"/>
              <w:bottom w:val="single" w:sz="4" w:space="0" w:color="auto"/>
              <w:right w:val="single" w:sz="4" w:space="0" w:color="auto"/>
            </w:tcBorders>
            <w:shd w:val="clear" w:color="auto" w:fill="auto"/>
            <w:vAlign w:val="center"/>
            <w:hideMark/>
          </w:tcPr>
          <w:p w14:paraId="01E566C7" w14:textId="77777777" w:rsidR="00CF3957" w:rsidRPr="009A1D77" w:rsidRDefault="00CF3957" w:rsidP="001E71E3">
            <w:pPr>
              <w:jc w:val="right"/>
              <w:rPr>
                <w:sz w:val="20"/>
                <w:szCs w:val="20"/>
              </w:rPr>
            </w:pPr>
            <w:r w:rsidRPr="00B62454">
              <w:rPr>
                <w:sz w:val="20"/>
                <w:szCs w:val="20"/>
              </w:rPr>
              <w:t>175.145.807,76</w:t>
            </w:r>
          </w:p>
        </w:tc>
      </w:tr>
      <w:tr w:rsidR="00CF3957" w:rsidRPr="009A1D77" w14:paraId="2469AEEF"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C3604B5" w14:textId="77777777" w:rsidR="00CF3957" w:rsidRPr="009A1D77" w:rsidRDefault="00CF3957" w:rsidP="001E71E3">
            <w:pPr>
              <w:jc w:val="center"/>
              <w:rPr>
                <w:sz w:val="20"/>
                <w:szCs w:val="20"/>
              </w:rPr>
            </w:pPr>
            <w:r w:rsidRPr="009A1D77">
              <w:rPr>
                <w:sz w:val="20"/>
                <w:szCs w:val="20"/>
              </w:rPr>
              <w:t>4</w:t>
            </w:r>
          </w:p>
        </w:tc>
        <w:tc>
          <w:tcPr>
            <w:tcW w:w="2500" w:type="dxa"/>
            <w:tcBorders>
              <w:top w:val="nil"/>
              <w:left w:val="nil"/>
              <w:bottom w:val="single" w:sz="4" w:space="0" w:color="auto"/>
              <w:right w:val="single" w:sz="4" w:space="0" w:color="auto"/>
            </w:tcBorders>
            <w:shd w:val="clear" w:color="auto" w:fill="auto"/>
            <w:noWrap/>
            <w:vAlign w:val="center"/>
            <w:hideMark/>
          </w:tcPr>
          <w:p w14:paraId="7F5F6C04" w14:textId="77777777" w:rsidR="00CF3957" w:rsidRPr="009A1D77" w:rsidRDefault="00CF3957" w:rsidP="001E71E3">
            <w:pPr>
              <w:rPr>
                <w:sz w:val="20"/>
                <w:szCs w:val="20"/>
              </w:rPr>
            </w:pPr>
            <w:r w:rsidRPr="009A1D77">
              <w:rPr>
                <w:sz w:val="20"/>
                <w:szCs w:val="20"/>
              </w:rPr>
              <w:t>MIGA</w:t>
            </w:r>
          </w:p>
        </w:tc>
        <w:tc>
          <w:tcPr>
            <w:tcW w:w="2320" w:type="dxa"/>
            <w:tcBorders>
              <w:top w:val="nil"/>
              <w:left w:val="nil"/>
              <w:bottom w:val="single" w:sz="4" w:space="0" w:color="auto"/>
              <w:right w:val="single" w:sz="4" w:space="0" w:color="auto"/>
            </w:tcBorders>
            <w:shd w:val="clear" w:color="auto" w:fill="auto"/>
            <w:noWrap/>
            <w:vAlign w:val="center"/>
            <w:hideMark/>
          </w:tcPr>
          <w:p w14:paraId="0ABFD49C" w14:textId="77777777" w:rsidR="00CF3957" w:rsidRPr="009A1D77" w:rsidRDefault="00CF3957" w:rsidP="001E71E3">
            <w:pPr>
              <w:jc w:val="center"/>
              <w:rPr>
                <w:sz w:val="20"/>
                <w:szCs w:val="20"/>
              </w:rPr>
            </w:pPr>
            <w:r w:rsidRPr="009A1D77">
              <w:rPr>
                <w:sz w:val="20"/>
                <w:szCs w:val="20"/>
              </w:rPr>
              <w:t>USD</w:t>
            </w:r>
          </w:p>
        </w:tc>
        <w:tc>
          <w:tcPr>
            <w:tcW w:w="1340" w:type="dxa"/>
            <w:tcBorders>
              <w:top w:val="nil"/>
              <w:left w:val="nil"/>
              <w:bottom w:val="single" w:sz="4" w:space="0" w:color="auto"/>
              <w:right w:val="single" w:sz="4" w:space="0" w:color="auto"/>
            </w:tcBorders>
            <w:shd w:val="clear" w:color="auto" w:fill="auto"/>
            <w:noWrap/>
            <w:vAlign w:val="center"/>
            <w:hideMark/>
          </w:tcPr>
          <w:p w14:paraId="7C4C2196" w14:textId="77777777" w:rsidR="00CF3957" w:rsidRPr="009A1D77" w:rsidRDefault="00CF3957" w:rsidP="001E71E3">
            <w:pPr>
              <w:jc w:val="right"/>
              <w:rPr>
                <w:sz w:val="20"/>
                <w:szCs w:val="20"/>
              </w:rPr>
            </w:pPr>
            <w:r w:rsidRPr="009A1D77">
              <w:rPr>
                <w:sz w:val="20"/>
                <w:szCs w:val="20"/>
              </w:rPr>
              <w:t>677.759,00</w:t>
            </w:r>
          </w:p>
        </w:tc>
        <w:tc>
          <w:tcPr>
            <w:tcW w:w="1600" w:type="dxa"/>
            <w:tcBorders>
              <w:top w:val="nil"/>
              <w:left w:val="nil"/>
              <w:bottom w:val="single" w:sz="4" w:space="0" w:color="auto"/>
              <w:right w:val="single" w:sz="4" w:space="0" w:color="auto"/>
            </w:tcBorders>
            <w:shd w:val="clear" w:color="auto" w:fill="auto"/>
            <w:vAlign w:val="center"/>
            <w:hideMark/>
          </w:tcPr>
          <w:p w14:paraId="0FB16B2F" w14:textId="77777777" w:rsidR="00CF3957" w:rsidRPr="009A1D77" w:rsidRDefault="00CF3957" w:rsidP="001E71E3">
            <w:pPr>
              <w:jc w:val="right"/>
              <w:rPr>
                <w:sz w:val="20"/>
                <w:szCs w:val="20"/>
              </w:rPr>
            </w:pPr>
            <w:r w:rsidRPr="00B62454">
              <w:rPr>
                <w:sz w:val="20"/>
                <w:szCs w:val="20"/>
              </w:rPr>
              <w:t>4.787.716,69</w:t>
            </w:r>
          </w:p>
        </w:tc>
      </w:tr>
      <w:tr w:rsidR="00CF3957" w:rsidRPr="009A1D77" w14:paraId="4B351ED9"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568DDE5" w14:textId="77777777" w:rsidR="00CF3957" w:rsidRPr="009A1D77" w:rsidRDefault="00CF3957" w:rsidP="001E71E3">
            <w:pPr>
              <w:jc w:val="center"/>
              <w:rPr>
                <w:sz w:val="20"/>
                <w:szCs w:val="20"/>
              </w:rPr>
            </w:pPr>
            <w:r w:rsidRPr="009A1D77">
              <w:rPr>
                <w:sz w:val="20"/>
                <w:szCs w:val="20"/>
              </w:rPr>
              <w:t>5</w:t>
            </w:r>
          </w:p>
        </w:tc>
        <w:tc>
          <w:tcPr>
            <w:tcW w:w="2500" w:type="dxa"/>
            <w:tcBorders>
              <w:top w:val="nil"/>
              <w:left w:val="nil"/>
              <w:bottom w:val="single" w:sz="4" w:space="0" w:color="auto"/>
              <w:right w:val="single" w:sz="4" w:space="0" w:color="auto"/>
            </w:tcBorders>
            <w:shd w:val="clear" w:color="auto" w:fill="auto"/>
            <w:noWrap/>
            <w:vAlign w:val="center"/>
            <w:hideMark/>
          </w:tcPr>
          <w:p w14:paraId="23155038" w14:textId="77777777" w:rsidR="00CF3957" w:rsidRPr="009A1D77" w:rsidRDefault="00CF3957" w:rsidP="001E71E3">
            <w:pPr>
              <w:rPr>
                <w:sz w:val="20"/>
                <w:szCs w:val="20"/>
              </w:rPr>
            </w:pPr>
            <w:r w:rsidRPr="009A1D77">
              <w:rPr>
                <w:sz w:val="20"/>
                <w:szCs w:val="20"/>
              </w:rPr>
              <w:t>EIB**</w:t>
            </w:r>
            <w:r>
              <w:rPr>
                <w:sz w:val="20"/>
                <w:szCs w:val="20"/>
              </w:rPr>
              <w:t>*</w:t>
            </w:r>
          </w:p>
        </w:tc>
        <w:tc>
          <w:tcPr>
            <w:tcW w:w="2320" w:type="dxa"/>
            <w:tcBorders>
              <w:top w:val="nil"/>
              <w:left w:val="nil"/>
              <w:bottom w:val="single" w:sz="4" w:space="0" w:color="auto"/>
              <w:right w:val="single" w:sz="4" w:space="0" w:color="auto"/>
            </w:tcBorders>
            <w:shd w:val="clear" w:color="auto" w:fill="auto"/>
            <w:noWrap/>
            <w:vAlign w:val="center"/>
            <w:hideMark/>
          </w:tcPr>
          <w:p w14:paraId="03B32666" w14:textId="77777777" w:rsidR="00CF3957" w:rsidRPr="009A1D77" w:rsidRDefault="00CF3957" w:rsidP="001E71E3">
            <w:pPr>
              <w:jc w:val="center"/>
              <w:rPr>
                <w:sz w:val="20"/>
                <w:szCs w:val="20"/>
              </w:rPr>
            </w:pPr>
            <w:r w:rsidRPr="009A1D77">
              <w:rPr>
                <w:sz w:val="20"/>
                <w:szCs w:val="20"/>
              </w:rPr>
              <w:t>EUR</w:t>
            </w:r>
          </w:p>
        </w:tc>
        <w:tc>
          <w:tcPr>
            <w:tcW w:w="1340" w:type="dxa"/>
            <w:tcBorders>
              <w:top w:val="nil"/>
              <w:left w:val="nil"/>
              <w:bottom w:val="single" w:sz="4" w:space="0" w:color="auto"/>
              <w:right w:val="single" w:sz="4" w:space="0" w:color="auto"/>
            </w:tcBorders>
            <w:shd w:val="clear" w:color="auto" w:fill="auto"/>
            <w:noWrap/>
            <w:vAlign w:val="center"/>
            <w:hideMark/>
          </w:tcPr>
          <w:p w14:paraId="0AD4D76C" w14:textId="77777777" w:rsidR="00CF3957" w:rsidRPr="009A1D77" w:rsidRDefault="00CF3957" w:rsidP="001E71E3">
            <w:pPr>
              <w:jc w:val="right"/>
              <w:rPr>
                <w:sz w:val="20"/>
                <w:szCs w:val="20"/>
              </w:rPr>
            </w:pPr>
            <w:r w:rsidRPr="00D42D9D">
              <w:rPr>
                <w:sz w:val="20"/>
                <w:szCs w:val="20"/>
              </w:rPr>
              <w:t>94.750.368,00</w:t>
            </w:r>
          </w:p>
        </w:tc>
        <w:tc>
          <w:tcPr>
            <w:tcW w:w="1600" w:type="dxa"/>
            <w:tcBorders>
              <w:top w:val="nil"/>
              <w:left w:val="nil"/>
              <w:bottom w:val="single" w:sz="4" w:space="0" w:color="auto"/>
              <w:right w:val="single" w:sz="4" w:space="0" w:color="auto"/>
            </w:tcBorders>
            <w:shd w:val="clear" w:color="auto" w:fill="auto"/>
            <w:vAlign w:val="center"/>
            <w:hideMark/>
          </w:tcPr>
          <w:p w14:paraId="2258FED6" w14:textId="77777777" w:rsidR="00CF3957" w:rsidRPr="009A1D77" w:rsidRDefault="00CF3957" w:rsidP="001E71E3">
            <w:pPr>
              <w:jc w:val="right"/>
              <w:rPr>
                <w:sz w:val="20"/>
                <w:szCs w:val="20"/>
              </w:rPr>
            </w:pPr>
            <w:r w:rsidRPr="00B62454">
              <w:rPr>
                <w:sz w:val="20"/>
                <w:szCs w:val="20"/>
              </w:rPr>
              <w:t>713.896.647,70</w:t>
            </w:r>
          </w:p>
        </w:tc>
      </w:tr>
      <w:tr w:rsidR="00CF3957" w:rsidRPr="009A1D77" w14:paraId="0876290E"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FED5322" w14:textId="77777777" w:rsidR="00CF3957" w:rsidRPr="009A1D77" w:rsidRDefault="00CF3957" w:rsidP="001E71E3">
            <w:pPr>
              <w:jc w:val="center"/>
              <w:rPr>
                <w:sz w:val="20"/>
                <w:szCs w:val="20"/>
              </w:rPr>
            </w:pPr>
            <w:r w:rsidRPr="009A1D77">
              <w:rPr>
                <w:sz w:val="20"/>
                <w:szCs w:val="20"/>
              </w:rPr>
              <w:t>6</w:t>
            </w:r>
          </w:p>
        </w:tc>
        <w:tc>
          <w:tcPr>
            <w:tcW w:w="2500" w:type="dxa"/>
            <w:tcBorders>
              <w:top w:val="nil"/>
              <w:left w:val="nil"/>
              <w:bottom w:val="single" w:sz="4" w:space="0" w:color="auto"/>
              <w:right w:val="single" w:sz="4" w:space="0" w:color="auto"/>
            </w:tcBorders>
            <w:shd w:val="clear" w:color="auto" w:fill="auto"/>
            <w:noWrap/>
            <w:vAlign w:val="center"/>
            <w:hideMark/>
          </w:tcPr>
          <w:p w14:paraId="5E9B1332" w14:textId="77777777" w:rsidR="00CF3957" w:rsidRPr="009A1D77" w:rsidRDefault="00CF3957" w:rsidP="001E71E3">
            <w:pPr>
              <w:rPr>
                <w:sz w:val="20"/>
                <w:szCs w:val="20"/>
              </w:rPr>
            </w:pPr>
            <w:r w:rsidRPr="009A1D77">
              <w:rPr>
                <w:sz w:val="20"/>
                <w:szCs w:val="20"/>
              </w:rPr>
              <w:t>EBRD</w:t>
            </w:r>
          </w:p>
        </w:tc>
        <w:tc>
          <w:tcPr>
            <w:tcW w:w="2320" w:type="dxa"/>
            <w:tcBorders>
              <w:top w:val="nil"/>
              <w:left w:val="nil"/>
              <w:bottom w:val="single" w:sz="4" w:space="0" w:color="auto"/>
              <w:right w:val="single" w:sz="4" w:space="0" w:color="auto"/>
            </w:tcBorders>
            <w:shd w:val="clear" w:color="auto" w:fill="auto"/>
            <w:noWrap/>
            <w:vAlign w:val="center"/>
            <w:hideMark/>
          </w:tcPr>
          <w:p w14:paraId="7E3C48D1" w14:textId="77777777" w:rsidR="00CF3957" w:rsidRPr="009A1D77" w:rsidRDefault="00CF3957" w:rsidP="001E71E3">
            <w:pPr>
              <w:jc w:val="center"/>
              <w:rPr>
                <w:sz w:val="20"/>
                <w:szCs w:val="20"/>
              </w:rPr>
            </w:pPr>
            <w:r w:rsidRPr="009A1D77">
              <w:rPr>
                <w:sz w:val="20"/>
                <w:szCs w:val="20"/>
              </w:rPr>
              <w:t>EUR</w:t>
            </w:r>
          </w:p>
        </w:tc>
        <w:tc>
          <w:tcPr>
            <w:tcW w:w="1340" w:type="dxa"/>
            <w:tcBorders>
              <w:top w:val="nil"/>
              <w:left w:val="nil"/>
              <w:bottom w:val="single" w:sz="4" w:space="0" w:color="auto"/>
              <w:right w:val="single" w:sz="4" w:space="0" w:color="auto"/>
            </w:tcBorders>
            <w:shd w:val="clear" w:color="auto" w:fill="auto"/>
            <w:noWrap/>
            <w:vAlign w:val="center"/>
            <w:hideMark/>
          </w:tcPr>
          <w:p w14:paraId="69C26A17" w14:textId="77777777" w:rsidR="00CF3957" w:rsidRPr="009A1D77" w:rsidRDefault="00CF3957" w:rsidP="001E71E3">
            <w:pPr>
              <w:jc w:val="right"/>
              <w:rPr>
                <w:sz w:val="20"/>
                <w:szCs w:val="20"/>
              </w:rPr>
            </w:pPr>
            <w:r w:rsidRPr="009A1D77">
              <w:rPr>
                <w:sz w:val="20"/>
                <w:szCs w:val="20"/>
              </w:rPr>
              <w:t>22.820.000,00</w:t>
            </w:r>
          </w:p>
        </w:tc>
        <w:tc>
          <w:tcPr>
            <w:tcW w:w="1600" w:type="dxa"/>
            <w:tcBorders>
              <w:top w:val="nil"/>
              <w:left w:val="nil"/>
              <w:bottom w:val="single" w:sz="4" w:space="0" w:color="auto"/>
              <w:right w:val="single" w:sz="4" w:space="0" w:color="auto"/>
            </w:tcBorders>
            <w:shd w:val="clear" w:color="auto" w:fill="auto"/>
            <w:noWrap/>
            <w:vAlign w:val="center"/>
            <w:hideMark/>
          </w:tcPr>
          <w:p w14:paraId="626CF169" w14:textId="77777777" w:rsidR="00CF3957" w:rsidRPr="009A1D77" w:rsidRDefault="00CF3957" w:rsidP="001E71E3">
            <w:pPr>
              <w:jc w:val="right"/>
              <w:rPr>
                <w:sz w:val="20"/>
                <w:szCs w:val="20"/>
              </w:rPr>
            </w:pPr>
            <w:r w:rsidRPr="00B62454">
              <w:rPr>
                <w:sz w:val="20"/>
                <w:szCs w:val="20"/>
              </w:rPr>
              <w:t>171.937.290,00</w:t>
            </w:r>
          </w:p>
        </w:tc>
      </w:tr>
      <w:tr w:rsidR="00CF3957" w:rsidRPr="009A1D77" w14:paraId="6A45FF5D"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11C4BE" w14:textId="77777777" w:rsidR="00CF3957" w:rsidRPr="009A1D77" w:rsidRDefault="00CF3957" w:rsidP="001E71E3">
            <w:pPr>
              <w:jc w:val="center"/>
              <w:rPr>
                <w:sz w:val="20"/>
                <w:szCs w:val="20"/>
              </w:rPr>
            </w:pPr>
            <w:r w:rsidRPr="009A1D77">
              <w:rPr>
                <w:sz w:val="20"/>
                <w:szCs w:val="20"/>
              </w:rPr>
              <w:t>7</w:t>
            </w:r>
          </w:p>
        </w:tc>
        <w:tc>
          <w:tcPr>
            <w:tcW w:w="2500" w:type="dxa"/>
            <w:tcBorders>
              <w:top w:val="nil"/>
              <w:left w:val="nil"/>
              <w:bottom w:val="single" w:sz="4" w:space="0" w:color="auto"/>
              <w:right w:val="single" w:sz="4" w:space="0" w:color="auto"/>
            </w:tcBorders>
            <w:shd w:val="clear" w:color="auto" w:fill="auto"/>
            <w:noWrap/>
            <w:vAlign w:val="center"/>
            <w:hideMark/>
          </w:tcPr>
          <w:p w14:paraId="1CB591E1" w14:textId="77777777" w:rsidR="00CF3957" w:rsidRPr="009A1D77" w:rsidRDefault="00CF3957" w:rsidP="001E71E3">
            <w:pPr>
              <w:rPr>
                <w:sz w:val="20"/>
                <w:szCs w:val="20"/>
              </w:rPr>
            </w:pPr>
            <w:r w:rsidRPr="009A1D77">
              <w:rPr>
                <w:sz w:val="20"/>
                <w:szCs w:val="20"/>
              </w:rPr>
              <w:t>CEB</w:t>
            </w:r>
          </w:p>
        </w:tc>
        <w:tc>
          <w:tcPr>
            <w:tcW w:w="2320" w:type="dxa"/>
            <w:tcBorders>
              <w:top w:val="nil"/>
              <w:left w:val="nil"/>
              <w:bottom w:val="single" w:sz="4" w:space="0" w:color="auto"/>
              <w:right w:val="single" w:sz="4" w:space="0" w:color="auto"/>
            </w:tcBorders>
            <w:shd w:val="clear" w:color="auto" w:fill="auto"/>
            <w:noWrap/>
            <w:vAlign w:val="center"/>
            <w:hideMark/>
          </w:tcPr>
          <w:p w14:paraId="7CAA2AF1" w14:textId="77777777" w:rsidR="00CF3957" w:rsidRPr="009A1D77" w:rsidRDefault="00CF3957" w:rsidP="001E71E3">
            <w:pPr>
              <w:jc w:val="center"/>
              <w:rPr>
                <w:sz w:val="20"/>
                <w:szCs w:val="20"/>
              </w:rPr>
            </w:pPr>
            <w:r w:rsidRPr="009A1D77">
              <w:rPr>
                <w:sz w:val="20"/>
                <w:szCs w:val="20"/>
              </w:rPr>
              <w:t>EUR</w:t>
            </w:r>
          </w:p>
        </w:tc>
        <w:tc>
          <w:tcPr>
            <w:tcW w:w="1340" w:type="dxa"/>
            <w:tcBorders>
              <w:top w:val="nil"/>
              <w:left w:val="nil"/>
              <w:bottom w:val="single" w:sz="4" w:space="0" w:color="auto"/>
              <w:right w:val="single" w:sz="4" w:space="0" w:color="auto"/>
            </w:tcBorders>
            <w:shd w:val="clear" w:color="auto" w:fill="auto"/>
            <w:noWrap/>
            <w:vAlign w:val="center"/>
            <w:hideMark/>
          </w:tcPr>
          <w:p w14:paraId="273E6753" w14:textId="77777777" w:rsidR="00CF3957" w:rsidRPr="009A1D77" w:rsidRDefault="00CF3957" w:rsidP="001E71E3">
            <w:pPr>
              <w:jc w:val="right"/>
              <w:rPr>
                <w:sz w:val="20"/>
                <w:szCs w:val="20"/>
              </w:rPr>
            </w:pPr>
            <w:r w:rsidRPr="009A1D77">
              <w:rPr>
                <w:sz w:val="20"/>
                <w:szCs w:val="20"/>
              </w:rPr>
              <w:t>2.372.578,00</w:t>
            </w:r>
          </w:p>
        </w:tc>
        <w:tc>
          <w:tcPr>
            <w:tcW w:w="1600" w:type="dxa"/>
            <w:tcBorders>
              <w:top w:val="nil"/>
              <w:left w:val="nil"/>
              <w:bottom w:val="single" w:sz="4" w:space="0" w:color="auto"/>
              <w:right w:val="single" w:sz="4" w:space="0" w:color="auto"/>
            </w:tcBorders>
            <w:shd w:val="clear" w:color="auto" w:fill="auto"/>
            <w:noWrap/>
            <w:vAlign w:val="center"/>
            <w:hideMark/>
          </w:tcPr>
          <w:p w14:paraId="200E93BA" w14:textId="77777777" w:rsidR="00CF3957" w:rsidRPr="009A1D77" w:rsidRDefault="00CF3957" w:rsidP="001E71E3">
            <w:pPr>
              <w:jc w:val="right"/>
              <w:rPr>
                <w:sz w:val="20"/>
                <w:szCs w:val="20"/>
              </w:rPr>
            </w:pPr>
            <w:r w:rsidRPr="00B62454">
              <w:rPr>
                <w:sz w:val="20"/>
                <w:szCs w:val="20"/>
              </w:rPr>
              <w:t>17.876.188,94</w:t>
            </w:r>
          </w:p>
        </w:tc>
      </w:tr>
      <w:tr w:rsidR="00CF3957" w:rsidRPr="009A1D77" w14:paraId="02CF7E63"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6286DA" w14:textId="77777777" w:rsidR="00CF3957" w:rsidRPr="009A1D77" w:rsidRDefault="00CF3957" w:rsidP="001E71E3">
            <w:pPr>
              <w:jc w:val="center"/>
              <w:rPr>
                <w:sz w:val="20"/>
                <w:szCs w:val="20"/>
              </w:rPr>
            </w:pPr>
            <w:r w:rsidRPr="009A1D77">
              <w:rPr>
                <w:sz w:val="20"/>
                <w:szCs w:val="20"/>
              </w:rPr>
              <w:t>8</w:t>
            </w:r>
          </w:p>
        </w:tc>
        <w:tc>
          <w:tcPr>
            <w:tcW w:w="2500" w:type="dxa"/>
            <w:tcBorders>
              <w:top w:val="nil"/>
              <w:left w:val="nil"/>
              <w:bottom w:val="nil"/>
              <w:right w:val="single" w:sz="4" w:space="0" w:color="auto"/>
            </w:tcBorders>
            <w:shd w:val="clear" w:color="auto" w:fill="auto"/>
            <w:noWrap/>
            <w:vAlign w:val="center"/>
            <w:hideMark/>
          </w:tcPr>
          <w:p w14:paraId="50DC1A88" w14:textId="77777777" w:rsidR="00CF3957" w:rsidRPr="009A1D77" w:rsidRDefault="00CF3957" w:rsidP="001E71E3">
            <w:pPr>
              <w:rPr>
                <w:sz w:val="20"/>
                <w:szCs w:val="20"/>
              </w:rPr>
            </w:pPr>
            <w:r w:rsidRPr="009A1D77">
              <w:rPr>
                <w:sz w:val="20"/>
                <w:szCs w:val="20"/>
              </w:rPr>
              <w:t>IDB</w:t>
            </w:r>
          </w:p>
        </w:tc>
        <w:tc>
          <w:tcPr>
            <w:tcW w:w="2320" w:type="dxa"/>
            <w:tcBorders>
              <w:top w:val="nil"/>
              <w:left w:val="nil"/>
              <w:bottom w:val="nil"/>
              <w:right w:val="single" w:sz="4" w:space="0" w:color="auto"/>
            </w:tcBorders>
            <w:shd w:val="clear" w:color="auto" w:fill="auto"/>
            <w:noWrap/>
            <w:vAlign w:val="center"/>
            <w:hideMark/>
          </w:tcPr>
          <w:p w14:paraId="26F2BC3C" w14:textId="77777777" w:rsidR="00CF3957" w:rsidRPr="009A1D77" w:rsidRDefault="00CF3957" w:rsidP="001E71E3">
            <w:pPr>
              <w:jc w:val="center"/>
              <w:rPr>
                <w:sz w:val="20"/>
                <w:szCs w:val="20"/>
              </w:rPr>
            </w:pPr>
            <w:r w:rsidRPr="009A1D77">
              <w:rPr>
                <w:sz w:val="20"/>
                <w:szCs w:val="20"/>
              </w:rPr>
              <w:t>USD</w:t>
            </w:r>
          </w:p>
        </w:tc>
        <w:tc>
          <w:tcPr>
            <w:tcW w:w="1340" w:type="dxa"/>
            <w:tcBorders>
              <w:top w:val="nil"/>
              <w:left w:val="nil"/>
              <w:bottom w:val="nil"/>
              <w:right w:val="single" w:sz="4" w:space="0" w:color="auto"/>
            </w:tcBorders>
            <w:shd w:val="clear" w:color="auto" w:fill="auto"/>
            <w:noWrap/>
            <w:vAlign w:val="center"/>
            <w:hideMark/>
          </w:tcPr>
          <w:p w14:paraId="492C01B1" w14:textId="77777777" w:rsidR="00CF3957" w:rsidRPr="009A1D77" w:rsidRDefault="00CF3957" w:rsidP="001E71E3">
            <w:pPr>
              <w:jc w:val="right"/>
              <w:rPr>
                <w:sz w:val="20"/>
                <w:szCs w:val="20"/>
              </w:rPr>
            </w:pPr>
            <w:r w:rsidRPr="009A1D77">
              <w:rPr>
                <w:sz w:val="20"/>
                <w:szCs w:val="20"/>
              </w:rPr>
              <w:t>6.433.232,60</w:t>
            </w:r>
          </w:p>
        </w:tc>
        <w:tc>
          <w:tcPr>
            <w:tcW w:w="1600" w:type="dxa"/>
            <w:tcBorders>
              <w:top w:val="nil"/>
              <w:left w:val="nil"/>
              <w:bottom w:val="nil"/>
              <w:right w:val="single" w:sz="4" w:space="0" w:color="auto"/>
            </w:tcBorders>
            <w:shd w:val="clear" w:color="auto" w:fill="auto"/>
            <w:vAlign w:val="center"/>
            <w:hideMark/>
          </w:tcPr>
          <w:p w14:paraId="3849D079" w14:textId="77777777" w:rsidR="00CF3957" w:rsidRPr="009A1D77" w:rsidRDefault="00CF3957" w:rsidP="001E71E3">
            <w:pPr>
              <w:jc w:val="right"/>
              <w:rPr>
                <w:sz w:val="20"/>
                <w:szCs w:val="20"/>
              </w:rPr>
            </w:pPr>
            <w:r w:rsidRPr="00B62454">
              <w:rPr>
                <w:sz w:val="20"/>
                <w:szCs w:val="20"/>
              </w:rPr>
              <w:t>45.444.612,42</w:t>
            </w:r>
          </w:p>
        </w:tc>
      </w:tr>
      <w:tr w:rsidR="00CF3957" w:rsidRPr="009A1D77" w14:paraId="1B3DFBDD"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D3059EE" w14:textId="77777777" w:rsidR="00CF3957" w:rsidRPr="009A1D77" w:rsidRDefault="00CF3957" w:rsidP="001E71E3">
            <w:pPr>
              <w:jc w:val="center"/>
              <w:rPr>
                <w:sz w:val="20"/>
                <w:szCs w:val="20"/>
              </w:rPr>
            </w:pPr>
            <w:r w:rsidRPr="009A1D77">
              <w:rPr>
                <w:sz w:val="20"/>
                <w:szCs w:val="20"/>
              </w:rPr>
              <w:t>9</w:t>
            </w:r>
          </w:p>
        </w:tc>
        <w:tc>
          <w:tcPr>
            <w:tcW w:w="2500" w:type="dxa"/>
            <w:tcBorders>
              <w:top w:val="single" w:sz="4" w:space="0" w:color="auto"/>
              <w:left w:val="nil"/>
              <w:bottom w:val="nil"/>
              <w:right w:val="single" w:sz="4" w:space="0" w:color="auto"/>
            </w:tcBorders>
            <w:shd w:val="clear" w:color="auto" w:fill="auto"/>
            <w:noWrap/>
            <w:vAlign w:val="center"/>
            <w:hideMark/>
          </w:tcPr>
          <w:p w14:paraId="72F6E19E" w14:textId="77777777" w:rsidR="00CF3957" w:rsidRPr="009A1D77" w:rsidRDefault="00CF3957" w:rsidP="001E71E3">
            <w:pPr>
              <w:rPr>
                <w:sz w:val="20"/>
                <w:szCs w:val="20"/>
              </w:rPr>
            </w:pPr>
            <w:r w:rsidRPr="009A1D77">
              <w:rPr>
                <w:sz w:val="20"/>
                <w:szCs w:val="20"/>
              </w:rPr>
              <w:t>IIC***</w:t>
            </w:r>
            <w:r>
              <w:rPr>
                <w:sz w:val="20"/>
                <w:szCs w:val="20"/>
              </w:rPr>
              <w:t>*</w:t>
            </w:r>
          </w:p>
        </w:tc>
        <w:tc>
          <w:tcPr>
            <w:tcW w:w="2320" w:type="dxa"/>
            <w:tcBorders>
              <w:top w:val="single" w:sz="4" w:space="0" w:color="auto"/>
              <w:left w:val="nil"/>
              <w:bottom w:val="nil"/>
              <w:right w:val="single" w:sz="4" w:space="0" w:color="auto"/>
            </w:tcBorders>
            <w:shd w:val="clear" w:color="auto" w:fill="auto"/>
            <w:noWrap/>
            <w:vAlign w:val="center"/>
            <w:hideMark/>
          </w:tcPr>
          <w:p w14:paraId="043A595F" w14:textId="77777777" w:rsidR="00CF3957" w:rsidRPr="009A1D77" w:rsidRDefault="00CF3957" w:rsidP="001E71E3">
            <w:pPr>
              <w:jc w:val="center"/>
              <w:rPr>
                <w:sz w:val="20"/>
                <w:szCs w:val="20"/>
              </w:rPr>
            </w:pPr>
            <w:r w:rsidRPr="009A1D77">
              <w:rPr>
                <w:sz w:val="20"/>
                <w:szCs w:val="20"/>
              </w:rPr>
              <w:t>USD</w:t>
            </w:r>
          </w:p>
        </w:tc>
        <w:tc>
          <w:tcPr>
            <w:tcW w:w="1340" w:type="dxa"/>
            <w:tcBorders>
              <w:top w:val="single" w:sz="4" w:space="0" w:color="auto"/>
              <w:left w:val="nil"/>
              <w:bottom w:val="nil"/>
              <w:right w:val="single" w:sz="4" w:space="0" w:color="auto"/>
            </w:tcBorders>
            <w:shd w:val="clear" w:color="auto" w:fill="auto"/>
            <w:noWrap/>
            <w:vAlign w:val="center"/>
            <w:hideMark/>
          </w:tcPr>
          <w:p w14:paraId="4D834570" w14:textId="77777777" w:rsidR="00CF3957" w:rsidRPr="009A1D77" w:rsidRDefault="00CF3957" w:rsidP="001E71E3">
            <w:pPr>
              <w:jc w:val="right"/>
              <w:rPr>
                <w:sz w:val="20"/>
                <w:szCs w:val="20"/>
              </w:rPr>
            </w:pPr>
            <w:r w:rsidRPr="00B62454">
              <w:rPr>
                <w:sz w:val="20"/>
                <w:szCs w:val="20"/>
              </w:rPr>
              <w:t>248.159,72</w:t>
            </w:r>
          </w:p>
        </w:tc>
        <w:tc>
          <w:tcPr>
            <w:tcW w:w="1600" w:type="dxa"/>
            <w:tcBorders>
              <w:top w:val="single" w:sz="4" w:space="0" w:color="auto"/>
              <w:left w:val="nil"/>
              <w:bottom w:val="nil"/>
              <w:right w:val="single" w:sz="4" w:space="0" w:color="auto"/>
            </w:tcBorders>
            <w:shd w:val="clear" w:color="auto" w:fill="auto"/>
            <w:vAlign w:val="center"/>
            <w:hideMark/>
          </w:tcPr>
          <w:p w14:paraId="400BAECE" w14:textId="77777777" w:rsidR="00CF3957" w:rsidRPr="009A1D77" w:rsidRDefault="00CF3957" w:rsidP="001E71E3">
            <w:pPr>
              <w:jc w:val="right"/>
              <w:rPr>
                <w:sz w:val="20"/>
                <w:szCs w:val="20"/>
              </w:rPr>
            </w:pPr>
            <w:r w:rsidRPr="00B62454">
              <w:rPr>
                <w:sz w:val="20"/>
                <w:szCs w:val="20"/>
              </w:rPr>
              <w:t>1.753.010,19</w:t>
            </w:r>
          </w:p>
        </w:tc>
      </w:tr>
      <w:tr w:rsidR="00CF3957" w:rsidRPr="009A1D77" w14:paraId="20F10254" w14:textId="77777777" w:rsidTr="001E71E3">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3F41DC2" w14:textId="77777777" w:rsidR="00CF3957" w:rsidRPr="009A1D77" w:rsidRDefault="00CF3957" w:rsidP="001E71E3">
            <w:pPr>
              <w:jc w:val="center"/>
              <w:rPr>
                <w:sz w:val="20"/>
                <w:szCs w:val="20"/>
              </w:rPr>
            </w:pPr>
            <w:r w:rsidRPr="009A1D77">
              <w:rPr>
                <w:sz w:val="20"/>
                <w:szCs w:val="20"/>
              </w:rPr>
              <w:t>10</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37267877" w14:textId="77777777" w:rsidR="00CF3957" w:rsidRPr="009A1D77" w:rsidRDefault="00CF3957" w:rsidP="001E71E3">
            <w:pPr>
              <w:rPr>
                <w:sz w:val="20"/>
                <w:szCs w:val="20"/>
              </w:rPr>
            </w:pPr>
            <w:r w:rsidRPr="009A1D77">
              <w:rPr>
                <w:sz w:val="20"/>
                <w:szCs w:val="20"/>
              </w:rPr>
              <w:t>AIIB</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59E830AA" w14:textId="77777777" w:rsidR="00CF3957" w:rsidRPr="009A1D77" w:rsidRDefault="00CF3957" w:rsidP="001E71E3">
            <w:pPr>
              <w:jc w:val="center"/>
              <w:rPr>
                <w:sz w:val="20"/>
                <w:szCs w:val="20"/>
              </w:rPr>
            </w:pPr>
            <w:r w:rsidRPr="009A1D77">
              <w:rPr>
                <w:sz w:val="20"/>
                <w:szCs w:val="20"/>
              </w:rPr>
              <w:t>USD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B9FD5E1" w14:textId="77777777" w:rsidR="00CF3957" w:rsidRPr="009A1D77" w:rsidRDefault="00CF3957" w:rsidP="001E71E3">
            <w:pPr>
              <w:jc w:val="right"/>
              <w:rPr>
                <w:sz w:val="20"/>
                <w:szCs w:val="20"/>
              </w:rPr>
            </w:pPr>
            <w:r>
              <w:rPr>
                <w:sz w:val="20"/>
                <w:szCs w:val="20"/>
              </w:rPr>
              <w:t>4</w:t>
            </w:r>
            <w:r w:rsidRPr="009A1D77">
              <w:rPr>
                <w:sz w:val="20"/>
                <w:szCs w:val="20"/>
              </w:rPr>
              <w:t>00.000,00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DDCF6B2" w14:textId="77777777" w:rsidR="00CF3957" w:rsidRPr="009A1D77" w:rsidRDefault="00CF3957" w:rsidP="001E71E3">
            <w:pPr>
              <w:jc w:val="right"/>
              <w:rPr>
                <w:sz w:val="20"/>
                <w:szCs w:val="20"/>
              </w:rPr>
            </w:pPr>
            <w:r w:rsidRPr="00B62454">
              <w:rPr>
                <w:sz w:val="20"/>
                <w:szCs w:val="20"/>
              </w:rPr>
              <w:t>2.825.616,00</w:t>
            </w:r>
          </w:p>
        </w:tc>
      </w:tr>
      <w:tr w:rsidR="00CF3957" w:rsidRPr="009A1D77" w14:paraId="6A7BF86E" w14:textId="77777777" w:rsidTr="001E71E3">
        <w:trPr>
          <w:trHeight w:val="285"/>
          <w:jc w:val="center"/>
        </w:trPr>
        <w:tc>
          <w:tcPr>
            <w:tcW w:w="33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30723" w14:textId="77777777" w:rsidR="00CF3957" w:rsidRPr="009A1D77" w:rsidRDefault="00CF3957" w:rsidP="001E71E3">
            <w:pPr>
              <w:jc w:val="center"/>
              <w:rPr>
                <w:b/>
                <w:bCs/>
                <w:sz w:val="20"/>
                <w:szCs w:val="20"/>
              </w:rPr>
            </w:pPr>
            <w:r w:rsidRPr="009A1D77">
              <w:rPr>
                <w:b/>
                <w:bCs/>
                <w:sz w:val="20"/>
                <w:szCs w:val="20"/>
              </w:rPr>
              <w:t>UKUPNO</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B383" w14:textId="77777777" w:rsidR="00CF3957" w:rsidRPr="009A1D77" w:rsidRDefault="00CF3957" w:rsidP="001E71E3">
            <w:pPr>
              <w:jc w:val="center"/>
              <w:rPr>
                <w:b/>
                <w:bCs/>
                <w:sz w:val="20"/>
                <w:szCs w:val="20"/>
              </w:rPr>
            </w:pPr>
            <w:r w:rsidRPr="009A1D77">
              <w:rPr>
                <w:b/>
                <w:bCs/>
                <w:sz w:val="20"/>
                <w:szCs w:val="20"/>
              </w:rPr>
              <w:t>USD</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494B7" w14:textId="77777777" w:rsidR="00CF3957" w:rsidRPr="009A1D77" w:rsidRDefault="00CF3957" w:rsidP="001E71E3">
            <w:pPr>
              <w:jc w:val="right"/>
              <w:rPr>
                <w:sz w:val="20"/>
                <w:szCs w:val="20"/>
              </w:rPr>
            </w:pPr>
            <w:r w:rsidRPr="00B62454">
              <w:rPr>
                <w:sz w:val="20"/>
                <w:szCs w:val="20"/>
              </w:rPr>
              <w:t>66.683.049,27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E827" w14:textId="77777777" w:rsidR="00CF3957" w:rsidRPr="009A1D77" w:rsidRDefault="00CF3957" w:rsidP="001E71E3">
            <w:pPr>
              <w:jc w:val="right"/>
              <w:rPr>
                <w:sz w:val="20"/>
                <w:szCs w:val="20"/>
              </w:rPr>
            </w:pPr>
            <w:r w:rsidRPr="00B62454">
              <w:rPr>
                <w:sz w:val="20"/>
                <w:szCs w:val="20"/>
              </w:rPr>
              <w:t>471.051.727,37</w:t>
            </w:r>
          </w:p>
        </w:tc>
      </w:tr>
      <w:tr w:rsidR="00CF3957" w:rsidRPr="009A1D77" w14:paraId="7CB743B0" w14:textId="77777777" w:rsidTr="001E71E3">
        <w:trPr>
          <w:trHeight w:val="285"/>
          <w:jc w:val="center"/>
        </w:trPr>
        <w:tc>
          <w:tcPr>
            <w:tcW w:w="3340" w:type="dxa"/>
            <w:gridSpan w:val="2"/>
            <w:vMerge/>
            <w:tcBorders>
              <w:top w:val="double" w:sz="6" w:space="0" w:color="000000"/>
              <w:left w:val="single" w:sz="4" w:space="0" w:color="auto"/>
              <w:bottom w:val="single" w:sz="4" w:space="0" w:color="auto"/>
              <w:right w:val="single" w:sz="4" w:space="0" w:color="auto"/>
            </w:tcBorders>
            <w:vAlign w:val="center"/>
            <w:hideMark/>
          </w:tcPr>
          <w:p w14:paraId="30F6931E" w14:textId="77777777" w:rsidR="00CF3957" w:rsidRPr="009A1D77" w:rsidRDefault="00CF3957" w:rsidP="001E71E3">
            <w:pPr>
              <w:rPr>
                <w:b/>
                <w:bCs/>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6A2BD" w14:textId="77777777" w:rsidR="00CF3957" w:rsidRPr="009A1D77" w:rsidRDefault="00CF3957" w:rsidP="001E71E3">
            <w:pPr>
              <w:jc w:val="center"/>
              <w:rPr>
                <w:b/>
                <w:bCs/>
                <w:sz w:val="20"/>
                <w:szCs w:val="20"/>
              </w:rPr>
            </w:pPr>
            <w:r w:rsidRPr="009A1D77">
              <w:rPr>
                <w:b/>
                <w:bCs/>
                <w:sz w:val="20"/>
                <w:szCs w:val="20"/>
              </w:rPr>
              <w:t>EUR</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1962" w14:textId="77777777" w:rsidR="00CF3957" w:rsidRPr="009A1D77" w:rsidRDefault="00CF3957" w:rsidP="001E71E3">
            <w:pPr>
              <w:jc w:val="right"/>
              <w:rPr>
                <w:sz w:val="20"/>
                <w:szCs w:val="20"/>
              </w:rPr>
            </w:pPr>
            <w:r w:rsidRPr="00B62454">
              <w:rPr>
                <w:sz w:val="20"/>
                <w:szCs w:val="20"/>
              </w:rPr>
              <w:t>119.942.946,00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8DA8" w14:textId="77777777" w:rsidR="00CF3957" w:rsidRPr="009A1D77" w:rsidRDefault="00CF3957" w:rsidP="001E71E3">
            <w:pPr>
              <w:jc w:val="right"/>
              <w:rPr>
                <w:sz w:val="20"/>
                <w:szCs w:val="20"/>
              </w:rPr>
            </w:pPr>
            <w:r w:rsidRPr="00B62454">
              <w:rPr>
                <w:sz w:val="20"/>
                <w:szCs w:val="20"/>
              </w:rPr>
              <w:t>903.710.126,64</w:t>
            </w:r>
          </w:p>
        </w:tc>
      </w:tr>
      <w:tr w:rsidR="00CF3957" w:rsidRPr="009A1D77" w14:paraId="2C3B9445" w14:textId="77777777" w:rsidTr="001E71E3">
        <w:trPr>
          <w:trHeight w:val="285"/>
          <w:jc w:val="center"/>
        </w:trPr>
        <w:tc>
          <w:tcPr>
            <w:tcW w:w="840" w:type="dxa"/>
            <w:tcBorders>
              <w:top w:val="single" w:sz="4" w:space="0" w:color="auto"/>
              <w:left w:val="nil"/>
              <w:bottom w:val="nil"/>
              <w:right w:val="nil"/>
            </w:tcBorders>
            <w:shd w:val="clear" w:color="auto" w:fill="auto"/>
            <w:noWrap/>
            <w:vAlign w:val="center"/>
            <w:hideMark/>
          </w:tcPr>
          <w:p w14:paraId="1DACB917" w14:textId="77777777" w:rsidR="00CF3957" w:rsidRPr="009A1D77" w:rsidRDefault="00CF3957" w:rsidP="001E71E3">
            <w:pPr>
              <w:jc w:val="right"/>
              <w:rPr>
                <w:sz w:val="20"/>
                <w:szCs w:val="20"/>
              </w:rPr>
            </w:pPr>
          </w:p>
        </w:tc>
        <w:tc>
          <w:tcPr>
            <w:tcW w:w="2500" w:type="dxa"/>
            <w:tcBorders>
              <w:top w:val="single" w:sz="4" w:space="0" w:color="auto"/>
              <w:left w:val="nil"/>
              <w:bottom w:val="nil"/>
              <w:right w:val="nil"/>
            </w:tcBorders>
            <w:shd w:val="clear" w:color="auto" w:fill="auto"/>
            <w:noWrap/>
            <w:vAlign w:val="center"/>
            <w:hideMark/>
          </w:tcPr>
          <w:p w14:paraId="06456E77" w14:textId="77777777" w:rsidR="00CF3957" w:rsidRPr="009A1D77" w:rsidRDefault="00CF3957" w:rsidP="001E71E3">
            <w:pPr>
              <w:rPr>
                <w:sz w:val="20"/>
                <w:szCs w:val="20"/>
              </w:rPr>
            </w:pPr>
          </w:p>
        </w:tc>
        <w:tc>
          <w:tcPr>
            <w:tcW w:w="2320" w:type="dxa"/>
            <w:tcBorders>
              <w:top w:val="single" w:sz="4" w:space="0" w:color="auto"/>
              <w:left w:val="nil"/>
              <w:bottom w:val="nil"/>
              <w:right w:val="nil"/>
            </w:tcBorders>
            <w:shd w:val="clear" w:color="auto" w:fill="auto"/>
            <w:noWrap/>
            <w:vAlign w:val="center"/>
            <w:hideMark/>
          </w:tcPr>
          <w:p w14:paraId="30AB8D2B" w14:textId="77777777" w:rsidR="00CF3957" w:rsidRPr="009A1D77" w:rsidRDefault="00CF3957" w:rsidP="001E71E3">
            <w:pPr>
              <w:rPr>
                <w:sz w:val="20"/>
                <w:szCs w:val="20"/>
              </w:rPr>
            </w:pPr>
          </w:p>
        </w:tc>
        <w:tc>
          <w:tcPr>
            <w:tcW w:w="1340" w:type="dxa"/>
            <w:tcBorders>
              <w:top w:val="single" w:sz="4" w:space="0" w:color="auto"/>
              <w:left w:val="nil"/>
              <w:bottom w:val="nil"/>
              <w:right w:val="single" w:sz="4" w:space="0" w:color="auto"/>
            </w:tcBorders>
            <w:shd w:val="clear" w:color="auto" w:fill="auto"/>
            <w:noWrap/>
            <w:vAlign w:val="center"/>
            <w:hideMark/>
          </w:tcPr>
          <w:p w14:paraId="40537E77" w14:textId="77777777" w:rsidR="00CF3957" w:rsidRPr="009A1D77" w:rsidRDefault="00CF3957" w:rsidP="001E71E3">
            <w:pPr>
              <w:jc w:val="right"/>
              <w:rPr>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77EE2" w14:textId="77777777" w:rsidR="00CF3957" w:rsidRPr="009A1D77" w:rsidRDefault="00CF3957" w:rsidP="001E71E3">
            <w:pPr>
              <w:jc w:val="right"/>
              <w:rPr>
                <w:b/>
                <w:bCs/>
                <w:sz w:val="20"/>
                <w:szCs w:val="20"/>
              </w:rPr>
            </w:pPr>
            <w:r w:rsidRPr="00B62454">
              <w:rPr>
                <w:b/>
                <w:bCs/>
                <w:sz w:val="20"/>
                <w:szCs w:val="20"/>
              </w:rPr>
              <w:t>1.374.761.854,00</w:t>
            </w:r>
          </w:p>
        </w:tc>
      </w:tr>
    </w:tbl>
    <w:p w14:paraId="04B3F1B0" w14:textId="77777777" w:rsidR="00CF3957" w:rsidRPr="009A1D77" w:rsidRDefault="00CF3957" w:rsidP="00CF3957">
      <w:pPr>
        <w:jc w:val="both"/>
        <w:rPr>
          <w:b/>
          <w:sz w:val="20"/>
          <w:szCs w:val="20"/>
        </w:rPr>
      </w:pPr>
    </w:p>
    <w:p w14:paraId="064B9F85" w14:textId="77777777" w:rsidR="00CF3957" w:rsidRDefault="00CF3957" w:rsidP="00CF3957">
      <w:pPr>
        <w:jc w:val="both"/>
        <w:rPr>
          <w:szCs w:val="20"/>
        </w:rPr>
      </w:pPr>
      <w:r w:rsidRPr="009A1D77">
        <w:rPr>
          <w:szCs w:val="20"/>
        </w:rPr>
        <w:t xml:space="preserve">* </w:t>
      </w:r>
      <w:r w:rsidRPr="00B62454">
        <w:rPr>
          <w:szCs w:val="20"/>
        </w:rPr>
        <w:t>Stanje na kraju 2018. godine iznosilo je 21.727.569,85 USD. Sukladno Odluci Vlade RH obveza po osnovi povećanja kapitala IBRD-a plaća se u 5 jednakih obroka u iznosu od 1.629.537,58 USD svaki (od čega 1.355.937,40 USD za opće povećanje kapitala i 273.600,18 USD za selektivno povećanje). Takve iznose potvrdio je i IBRD prije izvršenja prve uplate. Međutim, tek nakon izvršenja plaćanja prvog obroka, Banka je M</w:t>
      </w:r>
      <w:r>
        <w:rPr>
          <w:szCs w:val="20"/>
        </w:rPr>
        <w:t>inistarstvo financija</w:t>
      </w:r>
      <w:r w:rsidRPr="00B62454">
        <w:rPr>
          <w:szCs w:val="20"/>
        </w:rPr>
        <w:t xml:space="preserve"> izvijestila da se od iznosa uplate prve rate priznaje samo 1.618.921,70 USD, slijedom čega proizlazi stanje kapitala na kraju 2019. godine. Razlika između uplaćenog i priznatog iznosa prvog obroka iznosi 10.615,88 USD i prebacuje se na posljednji obrok. Naime, uplatom iznosa od 1.355.937,40 USD dobiva se 56,2 dionice, a uplatom 273.600,18 USD 37,8 dionica, međutim Banka ne može evidentirati broj dionica izražen u decimalnom nego isključivo u cijelom broju, kojom prilikom se decimalni broj dionica zaokružuje i posljedično nastaje ranije spomenuta razlika od 10.615,88 USD. Nadalje, nakon izvršenja plaća</w:t>
      </w:r>
      <w:r>
        <w:rPr>
          <w:szCs w:val="20"/>
        </w:rPr>
        <w:t>nja drugog obroka, Banka je Ministarstvo financija</w:t>
      </w:r>
      <w:r w:rsidRPr="00B62454">
        <w:rPr>
          <w:szCs w:val="20"/>
        </w:rPr>
        <w:t xml:space="preserve"> izvijestila da se od iznosa uplate druge rate priznaje samo 1.626.159,80 USD, a da se razlika od 3.377,78 USD također prebacuje na posljednji obrok. Slijedom navedenoga, stanje na kraju 2020. godine jednako je stanju na kraju 2019. godine uvećanom za priznati iznos drugog obroka. Nakon izvršenja plaća</w:t>
      </w:r>
      <w:r>
        <w:rPr>
          <w:szCs w:val="20"/>
        </w:rPr>
        <w:t>nja trećeg obroka, Banka je Ministarstvo financija</w:t>
      </w:r>
      <w:r w:rsidRPr="00B62454">
        <w:rPr>
          <w:szCs w:val="20"/>
        </w:rPr>
        <w:t xml:space="preserve"> izvijestila da se, od iznosa uplate treće rate priznaje samo 1.626.159,80 USD, a da se razlika od 3.377,78 USD prebacuje na posljednji obrok što dovodi da je stanje na kraju 2021. godine jednako stanju na kraju 2020. godine uvećanom za priznati iznos trećeg obroka. Nadalje, nakon izvršenja plaćanj</w:t>
      </w:r>
      <w:r>
        <w:rPr>
          <w:szCs w:val="20"/>
        </w:rPr>
        <w:t>a četvrtog obroka, Banka je Ministarstvo financija</w:t>
      </w:r>
      <w:r w:rsidRPr="00B62454">
        <w:rPr>
          <w:szCs w:val="20"/>
        </w:rPr>
        <w:t xml:space="preserve"> izvijestila da se, od iznosa uplate četvrte rate priznaje samo 1.626.159,80 USD, a da se razlika od 3.377,78 USD prebacuje na posljednji obrok što dovodi da je stanje na kraju 2022. godine jednako stanju na kraju 2021. godine uvećanom za priznati iznos četvrtog obroka.</w:t>
      </w:r>
    </w:p>
    <w:p w14:paraId="1E3355BC" w14:textId="77777777" w:rsidR="00CF3957" w:rsidRPr="009A1D77" w:rsidRDefault="00CF3957" w:rsidP="00CF3957">
      <w:pPr>
        <w:jc w:val="both"/>
        <w:rPr>
          <w:szCs w:val="20"/>
        </w:rPr>
      </w:pPr>
    </w:p>
    <w:p w14:paraId="326CCB6A" w14:textId="77777777" w:rsidR="00CF3957" w:rsidRDefault="00CF3957" w:rsidP="00CF3957">
      <w:pPr>
        <w:jc w:val="both"/>
        <w:rPr>
          <w:szCs w:val="20"/>
        </w:rPr>
      </w:pPr>
      <w:r w:rsidRPr="009A1D77">
        <w:rPr>
          <w:szCs w:val="20"/>
        </w:rPr>
        <w:t xml:space="preserve">** </w:t>
      </w:r>
      <w:r w:rsidRPr="00B62454">
        <w:rPr>
          <w:szCs w:val="20"/>
        </w:rPr>
        <w:t>Iako nije bilo novih uplata u 2022. godini stanje obveza na 31.12.2021. i 31.12.2022. nije identično iz razloga što IDA svaku dosadašnju uplatu, koje se izvršavaju u HRK (izdavanjem mjenica unovčivih na prvi poziv), preračunava u USD po posebnom tečaju, ovisno o datumu izrade izvještaja. U stanje obveza nije uvrštena obveza izdavanja mjenice 2026. godine, koja je unovčiva na prvi poziv, u iznosu od 164.701,00 HRK (IDA na 31.12.2022. taj iznos vodi kao 23.334,00 USD). Također, u stanje obveza nije uvrštena obveza za s</w:t>
      </w:r>
      <w:r>
        <w:rPr>
          <w:szCs w:val="20"/>
        </w:rPr>
        <w:t>udjelovanje u 20. nadopuni sred</w:t>
      </w:r>
      <w:r w:rsidRPr="00B62454">
        <w:rPr>
          <w:szCs w:val="20"/>
        </w:rPr>
        <w:t>st</w:t>
      </w:r>
      <w:r>
        <w:rPr>
          <w:szCs w:val="20"/>
        </w:rPr>
        <w:t>a</w:t>
      </w:r>
      <w:r w:rsidRPr="00B62454">
        <w:rPr>
          <w:szCs w:val="20"/>
        </w:rPr>
        <w:t>va IDA-e u obliku donacije u iznosu od 21.000.000,00 HRK na koju se RH obvezala u 2022. godini, a ista će biti izvršena u 3 godišnje rate počevši od 2023. godine (IDA na 31.12.2022. taj iznos vodi kao 2.975.136,00 USD).</w:t>
      </w:r>
    </w:p>
    <w:p w14:paraId="12C46B3E" w14:textId="77777777" w:rsidR="00CF3957" w:rsidRPr="009A1D77" w:rsidRDefault="00CF3957" w:rsidP="00CF3957">
      <w:pPr>
        <w:jc w:val="both"/>
        <w:rPr>
          <w:szCs w:val="20"/>
        </w:rPr>
      </w:pPr>
    </w:p>
    <w:p w14:paraId="1452D2D0" w14:textId="77777777" w:rsidR="00CF3957" w:rsidRDefault="00CF3957" w:rsidP="00CF3957">
      <w:pPr>
        <w:jc w:val="both"/>
        <w:rPr>
          <w:szCs w:val="20"/>
        </w:rPr>
      </w:pPr>
      <w:r w:rsidRPr="009A1D77">
        <w:rPr>
          <w:szCs w:val="20"/>
        </w:rPr>
        <w:t xml:space="preserve">*** </w:t>
      </w:r>
      <w:r w:rsidRPr="00B62454">
        <w:rPr>
          <w:szCs w:val="20"/>
        </w:rPr>
        <w:t>Iznos uplate u 2022. godini ne predstavlja efektivnu uplatu već je EIB iz vlastitih rezervi, slijedom izlaska Ujedinjenog Kraljevstva iz EU-a i EIB-a, svim preostalim članicama povećao udjele u uplaćenom kapitalu te je stoga povećan i udio RH u istom.</w:t>
      </w:r>
    </w:p>
    <w:p w14:paraId="486E2C43" w14:textId="77777777" w:rsidR="00CF3957" w:rsidRDefault="00CF3957" w:rsidP="00CF3957">
      <w:pPr>
        <w:jc w:val="both"/>
        <w:rPr>
          <w:szCs w:val="20"/>
        </w:rPr>
      </w:pPr>
    </w:p>
    <w:p w14:paraId="45A4D0BE" w14:textId="77777777" w:rsidR="00CF3957" w:rsidRDefault="00CF3957" w:rsidP="00CF3957">
      <w:pPr>
        <w:jc w:val="both"/>
        <w:rPr>
          <w:szCs w:val="20"/>
        </w:rPr>
      </w:pPr>
      <w:r w:rsidRPr="00B62454">
        <w:rPr>
          <w:szCs w:val="20"/>
        </w:rPr>
        <w:t>**** Iznos uplate u 2022. godini IDB je transferirao iz svojih ostvarenih prihoda od redovnog kapitala u kapital RH u IIC-u.</w:t>
      </w:r>
    </w:p>
    <w:p w14:paraId="5EE8F106" w14:textId="77777777" w:rsidR="00CF3957" w:rsidRDefault="00CF3957" w:rsidP="00CF3957">
      <w:pPr>
        <w:keepNext/>
        <w:jc w:val="center"/>
        <w:rPr>
          <w:sz w:val="28"/>
        </w:rPr>
      </w:pPr>
    </w:p>
    <w:p w14:paraId="29735184" w14:textId="77777777" w:rsidR="00CF3957" w:rsidRDefault="00CF3957" w:rsidP="00CF3957">
      <w:pPr>
        <w:keepNext/>
        <w:jc w:val="center"/>
        <w:rPr>
          <w:sz w:val="28"/>
        </w:rPr>
      </w:pPr>
    </w:p>
    <w:p w14:paraId="480B02BB" w14:textId="77777777" w:rsidR="00CF3957" w:rsidRPr="00C85DCC" w:rsidRDefault="00CF3957" w:rsidP="00CF3957">
      <w:pPr>
        <w:keepNext/>
        <w:jc w:val="center"/>
        <w:rPr>
          <w:sz w:val="28"/>
        </w:rPr>
      </w:pPr>
      <w:r w:rsidRPr="00C85DCC">
        <w:rPr>
          <w:sz w:val="28"/>
        </w:rPr>
        <w:t>Bilješka</w:t>
      </w:r>
      <w:r>
        <w:rPr>
          <w:sz w:val="28"/>
        </w:rPr>
        <w:t xml:space="preserve"> 14</w:t>
      </w:r>
      <w:r w:rsidRPr="00C85DCC">
        <w:rPr>
          <w:sz w:val="28"/>
        </w:rPr>
        <w:t>.</w:t>
      </w:r>
    </w:p>
    <w:p w14:paraId="6974883D" w14:textId="77777777" w:rsidR="00CF3957" w:rsidRPr="00D42A73" w:rsidRDefault="00CF3957" w:rsidP="00CF3957">
      <w:pPr>
        <w:keepNext/>
        <w:jc w:val="center"/>
        <w:rPr>
          <w:sz w:val="28"/>
        </w:rPr>
      </w:pPr>
      <w:r>
        <w:rPr>
          <w:sz w:val="28"/>
        </w:rPr>
        <w:t>Šifra 1637</w:t>
      </w:r>
      <w:r w:rsidRPr="00D42A73">
        <w:rPr>
          <w:sz w:val="28"/>
        </w:rPr>
        <w:t xml:space="preserve"> Potraživanja za povrat pomoći danih unutar općeg proračuna po protestiranim jamstvima</w:t>
      </w:r>
    </w:p>
    <w:p w14:paraId="369B70DD" w14:textId="77777777" w:rsidR="00CF3957" w:rsidRDefault="00CF3957" w:rsidP="00CF3957">
      <w:pPr>
        <w:jc w:val="both"/>
      </w:pPr>
    </w:p>
    <w:p w14:paraId="0445ACEC" w14:textId="77777777" w:rsidR="00CF3957" w:rsidRPr="00F73893" w:rsidRDefault="00CF3957" w:rsidP="00CF3957">
      <w:pPr>
        <w:jc w:val="both"/>
      </w:pPr>
      <w:r w:rsidRPr="00F73893">
        <w:t xml:space="preserve">Potraživanja za povrat pomoći danih unutar općeg proračuna po protestiranim jamstvima na 31.12.2022. godine iznose 1.349.327.393,17 kuna od čega se na HŽ Infrastrukturu d.o.o. odnosi 1.332.445.600,21 kuna, na HŽ Putnički prijevoz d.o.o. 15.750.039,27 kuna te potraživanja za </w:t>
      </w:r>
      <w:r w:rsidRPr="00F73893">
        <w:lastRenderedPageBreak/>
        <w:t>zajmove dane drugim razinama vlasti po protestiranim jamstvima čiji je pregled dan u Tablici 4. u iznosu od 1.131.753,69 kuna.</w:t>
      </w:r>
    </w:p>
    <w:p w14:paraId="00079D06" w14:textId="77777777" w:rsidR="00CF3957" w:rsidRPr="00CB40E3" w:rsidRDefault="00CF3957" w:rsidP="00CF3957">
      <w:pPr>
        <w:jc w:val="both"/>
      </w:pPr>
    </w:p>
    <w:p w14:paraId="3F1FA700" w14:textId="77777777" w:rsidR="00CF3957" w:rsidRPr="00CB40E3" w:rsidRDefault="00CF3957" w:rsidP="00CF3957">
      <w:pPr>
        <w:tabs>
          <w:tab w:val="decimal" w:pos="8820"/>
        </w:tabs>
        <w:ind w:left="720"/>
        <w:jc w:val="both"/>
        <w:rPr>
          <w:b/>
          <w:sz w:val="20"/>
        </w:rPr>
      </w:pPr>
      <w:r w:rsidRPr="00CB40E3">
        <w:rPr>
          <w:b/>
          <w:sz w:val="20"/>
        </w:rPr>
        <w:t>Tablica 4.</w:t>
      </w:r>
    </w:p>
    <w:tbl>
      <w:tblPr>
        <w:tblW w:w="9015" w:type="dxa"/>
        <w:jc w:val="center"/>
        <w:tblLook w:val="0000" w:firstRow="0" w:lastRow="0" w:firstColumn="0" w:lastColumn="0" w:noHBand="0" w:noVBand="0"/>
      </w:tblPr>
      <w:tblGrid>
        <w:gridCol w:w="980"/>
        <w:gridCol w:w="3972"/>
        <w:gridCol w:w="4063"/>
      </w:tblGrid>
      <w:tr w:rsidR="00CF3957" w:rsidRPr="00CB40E3" w14:paraId="0469F0A4" w14:textId="77777777" w:rsidTr="001E71E3">
        <w:trPr>
          <w:trHeight w:val="789"/>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C569134" w14:textId="77777777" w:rsidR="00CF3957" w:rsidRPr="00CB40E3" w:rsidRDefault="00CF3957" w:rsidP="001E71E3">
            <w:pPr>
              <w:jc w:val="center"/>
              <w:rPr>
                <w:b/>
                <w:bCs/>
                <w:sz w:val="20"/>
                <w:szCs w:val="20"/>
              </w:rPr>
            </w:pPr>
            <w:r w:rsidRPr="00CB40E3">
              <w:rPr>
                <w:b/>
                <w:bCs/>
                <w:sz w:val="20"/>
                <w:szCs w:val="20"/>
              </w:rPr>
              <w:t>Red. broj</w:t>
            </w:r>
          </w:p>
        </w:tc>
        <w:tc>
          <w:tcPr>
            <w:tcW w:w="3972" w:type="dxa"/>
            <w:tcBorders>
              <w:top w:val="single" w:sz="4" w:space="0" w:color="auto"/>
              <w:left w:val="nil"/>
              <w:bottom w:val="single" w:sz="4" w:space="0" w:color="auto"/>
              <w:right w:val="single" w:sz="4" w:space="0" w:color="auto"/>
            </w:tcBorders>
            <w:shd w:val="clear" w:color="auto" w:fill="auto"/>
            <w:noWrap/>
            <w:vAlign w:val="center"/>
          </w:tcPr>
          <w:p w14:paraId="600D5613" w14:textId="77777777" w:rsidR="00CF3957" w:rsidRPr="00CB40E3" w:rsidRDefault="00CF3957" w:rsidP="001E71E3">
            <w:pPr>
              <w:jc w:val="center"/>
              <w:rPr>
                <w:b/>
                <w:bCs/>
                <w:sz w:val="20"/>
                <w:szCs w:val="20"/>
              </w:rPr>
            </w:pPr>
            <w:r w:rsidRPr="00CB40E3">
              <w:rPr>
                <w:b/>
                <w:bCs/>
                <w:sz w:val="20"/>
                <w:szCs w:val="20"/>
              </w:rPr>
              <w:t>Dužnik</w:t>
            </w:r>
          </w:p>
        </w:tc>
        <w:tc>
          <w:tcPr>
            <w:tcW w:w="4063" w:type="dxa"/>
            <w:tcBorders>
              <w:top w:val="single" w:sz="4" w:space="0" w:color="auto"/>
              <w:left w:val="nil"/>
              <w:bottom w:val="single" w:sz="4" w:space="0" w:color="auto"/>
              <w:right w:val="single" w:sz="4" w:space="0" w:color="auto"/>
            </w:tcBorders>
            <w:shd w:val="clear" w:color="auto" w:fill="auto"/>
            <w:vAlign w:val="center"/>
          </w:tcPr>
          <w:p w14:paraId="7AABFD1A" w14:textId="77777777" w:rsidR="00CF3957" w:rsidRPr="00CB40E3" w:rsidRDefault="00CF3957" w:rsidP="001E71E3">
            <w:pPr>
              <w:jc w:val="center"/>
              <w:rPr>
                <w:b/>
                <w:bCs/>
                <w:sz w:val="20"/>
                <w:szCs w:val="20"/>
              </w:rPr>
            </w:pPr>
            <w:r w:rsidRPr="00CB40E3">
              <w:rPr>
                <w:b/>
                <w:bCs/>
                <w:sz w:val="20"/>
                <w:szCs w:val="20"/>
              </w:rPr>
              <w:t xml:space="preserve">Stanje ukupnih </w:t>
            </w:r>
          </w:p>
          <w:p w14:paraId="3319C55C" w14:textId="77777777" w:rsidR="00CF3957" w:rsidRPr="00CB40E3" w:rsidRDefault="00CF3957" w:rsidP="001E71E3">
            <w:pPr>
              <w:jc w:val="center"/>
              <w:rPr>
                <w:b/>
                <w:bCs/>
                <w:sz w:val="20"/>
                <w:szCs w:val="20"/>
              </w:rPr>
            </w:pPr>
            <w:r w:rsidRPr="00CB40E3">
              <w:rPr>
                <w:b/>
                <w:bCs/>
                <w:sz w:val="20"/>
                <w:szCs w:val="20"/>
              </w:rPr>
              <w:t>potraživanja na</w:t>
            </w:r>
          </w:p>
          <w:p w14:paraId="7EB51816" w14:textId="77777777" w:rsidR="00CF3957" w:rsidRPr="00CB40E3" w:rsidRDefault="00CF3957" w:rsidP="001E71E3">
            <w:pPr>
              <w:jc w:val="center"/>
              <w:rPr>
                <w:b/>
                <w:bCs/>
                <w:sz w:val="20"/>
                <w:szCs w:val="20"/>
              </w:rPr>
            </w:pPr>
            <w:r w:rsidRPr="00CB40E3">
              <w:rPr>
                <w:b/>
                <w:bCs/>
                <w:sz w:val="20"/>
                <w:szCs w:val="20"/>
              </w:rPr>
              <w:t>31.12.202</w:t>
            </w:r>
            <w:r>
              <w:rPr>
                <w:b/>
                <w:bCs/>
                <w:sz w:val="20"/>
                <w:szCs w:val="20"/>
              </w:rPr>
              <w:t>2</w:t>
            </w:r>
            <w:r w:rsidRPr="00CB40E3">
              <w:rPr>
                <w:b/>
                <w:bCs/>
                <w:sz w:val="20"/>
                <w:szCs w:val="20"/>
              </w:rPr>
              <w:t>.</w:t>
            </w:r>
          </w:p>
        </w:tc>
      </w:tr>
      <w:tr w:rsidR="00CF3957" w:rsidRPr="00CB40E3" w14:paraId="7674A65B" w14:textId="77777777" w:rsidTr="001E71E3">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185BD" w14:textId="77777777" w:rsidR="00CF3957" w:rsidRPr="00CB40E3" w:rsidRDefault="00CF3957" w:rsidP="001E71E3">
            <w:pPr>
              <w:rPr>
                <w:sz w:val="20"/>
                <w:szCs w:val="20"/>
              </w:rPr>
            </w:pPr>
            <w:r w:rsidRPr="00CB40E3">
              <w:rPr>
                <w:sz w:val="20"/>
                <w:szCs w:val="20"/>
              </w:rPr>
              <w:t>1.</w:t>
            </w:r>
          </w:p>
        </w:tc>
        <w:tc>
          <w:tcPr>
            <w:tcW w:w="3972" w:type="dxa"/>
            <w:tcBorders>
              <w:top w:val="single" w:sz="4" w:space="0" w:color="auto"/>
              <w:left w:val="nil"/>
              <w:bottom w:val="single" w:sz="4" w:space="0" w:color="auto"/>
              <w:right w:val="single" w:sz="4" w:space="0" w:color="auto"/>
            </w:tcBorders>
            <w:shd w:val="clear" w:color="auto" w:fill="auto"/>
            <w:noWrap/>
            <w:vAlign w:val="center"/>
          </w:tcPr>
          <w:p w14:paraId="3FB48C69" w14:textId="77777777" w:rsidR="00CF3957" w:rsidRPr="00CB40E3" w:rsidRDefault="00CF3957" w:rsidP="001E71E3">
            <w:pPr>
              <w:rPr>
                <w:sz w:val="20"/>
                <w:szCs w:val="20"/>
              </w:rPr>
            </w:pPr>
            <w:r w:rsidRPr="00CB40E3">
              <w:rPr>
                <w:sz w:val="20"/>
                <w:szCs w:val="20"/>
              </w:rPr>
              <w:t>OPĆINA KRAPINSKE TOPLICE</w:t>
            </w:r>
          </w:p>
        </w:tc>
        <w:tc>
          <w:tcPr>
            <w:tcW w:w="4063" w:type="dxa"/>
            <w:tcBorders>
              <w:top w:val="single" w:sz="4" w:space="0" w:color="auto"/>
              <w:left w:val="nil"/>
              <w:bottom w:val="single" w:sz="4" w:space="0" w:color="auto"/>
              <w:right w:val="single" w:sz="4" w:space="0" w:color="auto"/>
            </w:tcBorders>
            <w:shd w:val="clear" w:color="auto" w:fill="auto"/>
            <w:noWrap/>
            <w:vAlign w:val="center"/>
          </w:tcPr>
          <w:p w14:paraId="0C7B6F97" w14:textId="77777777" w:rsidR="00CF3957" w:rsidRPr="00D444AB" w:rsidRDefault="00CF3957" w:rsidP="001E71E3">
            <w:pPr>
              <w:jc w:val="right"/>
              <w:rPr>
                <w:sz w:val="22"/>
                <w:szCs w:val="20"/>
              </w:rPr>
            </w:pPr>
            <w:r w:rsidRPr="00D444AB">
              <w:rPr>
                <w:sz w:val="22"/>
                <w:szCs w:val="20"/>
              </w:rPr>
              <w:t>40.600,70</w:t>
            </w:r>
          </w:p>
        </w:tc>
      </w:tr>
      <w:tr w:rsidR="00CF3957" w:rsidRPr="00CB40E3" w14:paraId="6A22780E" w14:textId="77777777" w:rsidTr="001E71E3">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EDB3B" w14:textId="77777777" w:rsidR="00CF3957" w:rsidRPr="00CB40E3" w:rsidRDefault="00CF3957" w:rsidP="001E71E3">
            <w:pPr>
              <w:rPr>
                <w:sz w:val="20"/>
                <w:szCs w:val="20"/>
              </w:rPr>
            </w:pPr>
            <w:r w:rsidRPr="00CB40E3">
              <w:rPr>
                <w:sz w:val="20"/>
                <w:szCs w:val="20"/>
              </w:rPr>
              <w:t>2.</w:t>
            </w:r>
          </w:p>
        </w:tc>
        <w:tc>
          <w:tcPr>
            <w:tcW w:w="3972" w:type="dxa"/>
            <w:tcBorders>
              <w:top w:val="single" w:sz="4" w:space="0" w:color="auto"/>
              <w:left w:val="nil"/>
              <w:bottom w:val="single" w:sz="4" w:space="0" w:color="auto"/>
              <w:right w:val="single" w:sz="4" w:space="0" w:color="auto"/>
            </w:tcBorders>
            <w:shd w:val="clear" w:color="auto" w:fill="auto"/>
            <w:noWrap/>
            <w:vAlign w:val="center"/>
          </w:tcPr>
          <w:p w14:paraId="5ECD4F1B" w14:textId="77777777" w:rsidR="00CF3957" w:rsidRPr="00CB40E3" w:rsidRDefault="00CF3957" w:rsidP="001E71E3">
            <w:pPr>
              <w:rPr>
                <w:sz w:val="20"/>
                <w:szCs w:val="20"/>
              </w:rPr>
            </w:pPr>
            <w:r w:rsidRPr="00CB40E3">
              <w:rPr>
                <w:sz w:val="20"/>
                <w:szCs w:val="20"/>
              </w:rPr>
              <w:t>OPĆINA NOVIGRAD PODRAVSKI</w:t>
            </w:r>
          </w:p>
        </w:tc>
        <w:tc>
          <w:tcPr>
            <w:tcW w:w="4063" w:type="dxa"/>
            <w:tcBorders>
              <w:top w:val="single" w:sz="4" w:space="0" w:color="auto"/>
              <w:left w:val="nil"/>
              <w:bottom w:val="single" w:sz="4" w:space="0" w:color="auto"/>
              <w:right w:val="single" w:sz="4" w:space="0" w:color="auto"/>
            </w:tcBorders>
            <w:shd w:val="clear" w:color="auto" w:fill="auto"/>
            <w:noWrap/>
            <w:vAlign w:val="center"/>
          </w:tcPr>
          <w:p w14:paraId="0560B593" w14:textId="77777777" w:rsidR="00CF3957" w:rsidRPr="00D444AB" w:rsidRDefault="00CF3957" w:rsidP="001E71E3">
            <w:pPr>
              <w:jc w:val="right"/>
              <w:rPr>
                <w:sz w:val="22"/>
                <w:szCs w:val="20"/>
              </w:rPr>
            </w:pPr>
            <w:r w:rsidRPr="00D444AB">
              <w:rPr>
                <w:sz w:val="22"/>
                <w:szCs w:val="20"/>
              </w:rPr>
              <w:t>1.091.152,99</w:t>
            </w:r>
          </w:p>
        </w:tc>
      </w:tr>
      <w:tr w:rsidR="00CF3957" w:rsidRPr="002165A0" w14:paraId="57E074A7" w14:textId="77777777" w:rsidTr="001E71E3">
        <w:trPr>
          <w:trHeight w:val="300"/>
          <w:jc w:val="center"/>
        </w:trPr>
        <w:tc>
          <w:tcPr>
            <w:tcW w:w="4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649F01" w14:textId="77777777" w:rsidR="00CF3957" w:rsidRPr="009E6037" w:rsidRDefault="00CF3957" w:rsidP="001E71E3">
            <w:pPr>
              <w:rPr>
                <w:b/>
                <w:sz w:val="20"/>
                <w:szCs w:val="20"/>
              </w:rPr>
            </w:pPr>
            <w:r w:rsidRPr="009E6037">
              <w:rPr>
                <w:sz w:val="20"/>
                <w:szCs w:val="20"/>
              </w:rPr>
              <w:t> </w:t>
            </w:r>
            <w:r w:rsidRPr="009E6037">
              <w:rPr>
                <w:b/>
                <w:bCs/>
                <w:sz w:val="20"/>
                <w:szCs w:val="20"/>
              </w:rPr>
              <w:t xml:space="preserve">UKUPNO </w:t>
            </w:r>
          </w:p>
        </w:tc>
        <w:tc>
          <w:tcPr>
            <w:tcW w:w="4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4D51B" w14:textId="77777777" w:rsidR="00CF3957" w:rsidRPr="009E6037" w:rsidRDefault="00CF3957" w:rsidP="001E71E3">
            <w:pPr>
              <w:jc w:val="right"/>
              <w:rPr>
                <w:b/>
                <w:bCs/>
                <w:sz w:val="22"/>
                <w:szCs w:val="20"/>
              </w:rPr>
            </w:pPr>
            <w:r w:rsidRPr="009E6037">
              <w:rPr>
                <w:b/>
                <w:bCs/>
                <w:sz w:val="22"/>
                <w:szCs w:val="20"/>
              </w:rPr>
              <w:t>1.131.753,69</w:t>
            </w:r>
          </w:p>
        </w:tc>
      </w:tr>
    </w:tbl>
    <w:p w14:paraId="58E810A5" w14:textId="77777777" w:rsidR="00CF3957" w:rsidRPr="00C75BCC" w:rsidRDefault="00CF3957" w:rsidP="00CF3957">
      <w:pPr>
        <w:jc w:val="both"/>
      </w:pPr>
    </w:p>
    <w:p w14:paraId="59D36BF2" w14:textId="77777777" w:rsidR="00CF3957" w:rsidRPr="003B30B6" w:rsidRDefault="00CF3957" w:rsidP="00CF3957">
      <w:pPr>
        <w:jc w:val="both"/>
      </w:pPr>
    </w:p>
    <w:p w14:paraId="1EE1133C" w14:textId="77777777" w:rsidR="00CF3957" w:rsidRPr="00C85DCC" w:rsidRDefault="00CF3957" w:rsidP="00CF3957">
      <w:pPr>
        <w:keepNext/>
        <w:jc w:val="center"/>
        <w:rPr>
          <w:sz w:val="28"/>
        </w:rPr>
      </w:pPr>
      <w:r>
        <w:rPr>
          <w:sz w:val="28"/>
        </w:rPr>
        <w:t>Bilješka 15</w:t>
      </w:r>
      <w:r w:rsidRPr="00C85DCC">
        <w:rPr>
          <w:sz w:val="28"/>
        </w:rPr>
        <w:t>.</w:t>
      </w:r>
    </w:p>
    <w:p w14:paraId="3BABA2FD" w14:textId="77777777" w:rsidR="00CF3957" w:rsidRPr="00D42A73" w:rsidRDefault="00CF3957" w:rsidP="00CF3957">
      <w:pPr>
        <w:keepNext/>
        <w:jc w:val="center"/>
        <w:rPr>
          <w:sz w:val="28"/>
        </w:rPr>
      </w:pPr>
      <w:r>
        <w:rPr>
          <w:sz w:val="28"/>
        </w:rPr>
        <w:t>Šifra 164</w:t>
      </w:r>
      <w:r w:rsidRPr="00D42A73">
        <w:rPr>
          <w:sz w:val="28"/>
        </w:rPr>
        <w:t xml:space="preserve"> Potraživanja za prihode od imovine</w:t>
      </w:r>
    </w:p>
    <w:p w14:paraId="4298949C" w14:textId="77777777" w:rsidR="00CF3957" w:rsidRDefault="00CF3957" w:rsidP="00CF3957">
      <w:pPr>
        <w:keepNext/>
        <w:jc w:val="both"/>
      </w:pPr>
    </w:p>
    <w:p w14:paraId="7289F032" w14:textId="77777777" w:rsidR="00CF3957" w:rsidRPr="00B516A6" w:rsidRDefault="00CF3957" w:rsidP="00CF3957">
      <w:pPr>
        <w:keepNext/>
        <w:jc w:val="both"/>
      </w:pPr>
      <w:r>
        <w:t>I</w:t>
      </w:r>
      <w:r w:rsidRPr="00D42A73">
        <w:t xml:space="preserve">znosi potraživanja za prihode od imovine </w:t>
      </w:r>
      <w:r>
        <w:t xml:space="preserve">na dan 31. prosinca </w:t>
      </w:r>
      <w:r w:rsidRPr="00D42A73">
        <w:t>202</w:t>
      </w:r>
      <w:r>
        <w:t>2</w:t>
      </w:r>
      <w:r w:rsidRPr="00D42A73">
        <w:t>. godin</w:t>
      </w:r>
      <w:r>
        <w:t>e</w:t>
      </w:r>
      <w:r w:rsidRPr="00D42A73">
        <w:t xml:space="preserve"> </w:t>
      </w:r>
      <w:r>
        <w:t>iznose 1.676.422.243,08 kuna i veći su za 20,2% u odnosu na početno stanje 2022</w:t>
      </w:r>
      <w:r w:rsidRPr="00B516A6">
        <w:t>.</w:t>
      </w:r>
      <w:r>
        <w:t xml:space="preserve"> godine.</w:t>
      </w:r>
      <w:r w:rsidRPr="00B516A6">
        <w:t xml:space="preserve"> Najznačajniji iznosi odnose se na: </w:t>
      </w:r>
    </w:p>
    <w:p w14:paraId="30D0B1F7" w14:textId="77777777" w:rsidR="00CF3957" w:rsidRPr="00B516A6" w:rsidRDefault="00CF3957" w:rsidP="00CF3957">
      <w:pPr>
        <w:keepNext/>
        <w:numPr>
          <w:ilvl w:val="0"/>
          <w:numId w:val="5"/>
        </w:numPr>
        <w:tabs>
          <w:tab w:val="decimal" w:pos="8820"/>
        </w:tabs>
        <w:jc w:val="both"/>
      </w:pPr>
      <w:r w:rsidRPr="00B516A6">
        <w:t xml:space="preserve">potraživanja za zatezne kamate po danim zajmovima bivšeg Fonda za razvoj i zapošljavanje u iznosu od 138.100.462,85 kuna, </w:t>
      </w:r>
    </w:p>
    <w:p w14:paraId="514817B0" w14:textId="77777777" w:rsidR="00CF3957" w:rsidRPr="00B516A6" w:rsidRDefault="00CF3957" w:rsidP="00CF3957">
      <w:pPr>
        <w:keepNext/>
        <w:numPr>
          <w:ilvl w:val="0"/>
          <w:numId w:val="5"/>
        </w:numPr>
        <w:tabs>
          <w:tab w:val="clear" w:pos="720"/>
        </w:tabs>
        <w:jc w:val="both"/>
      </w:pPr>
      <w:r w:rsidRPr="00B516A6">
        <w:t xml:space="preserve">potraživanja za kamate po danim zajmovima bivšeg Fonda za razvoj i zapošljavanje tuzemnim trgovačkim društvima i obrtima u iznosu od 67.352.780,64 kuna, </w:t>
      </w:r>
    </w:p>
    <w:p w14:paraId="55C1954D" w14:textId="77777777" w:rsidR="00CF3957" w:rsidRDefault="00CF3957" w:rsidP="00CF3957">
      <w:pPr>
        <w:numPr>
          <w:ilvl w:val="0"/>
          <w:numId w:val="5"/>
        </w:numPr>
        <w:tabs>
          <w:tab w:val="decimal" w:pos="8820"/>
        </w:tabs>
        <w:jc w:val="both"/>
      </w:pPr>
      <w:r w:rsidRPr="00B516A6">
        <w:t>evidentirano potraživanje od Republike Sudan u iznosu od 216.915.476,28 kuna,</w:t>
      </w:r>
    </w:p>
    <w:p w14:paraId="7E89870E" w14:textId="77777777" w:rsidR="00CF3957" w:rsidRPr="00B516A6" w:rsidRDefault="00CF3957" w:rsidP="00CF3957">
      <w:pPr>
        <w:numPr>
          <w:ilvl w:val="0"/>
          <w:numId w:val="5"/>
        </w:numPr>
        <w:tabs>
          <w:tab w:val="decimal" w:pos="8820"/>
        </w:tabs>
        <w:jc w:val="both"/>
      </w:pPr>
      <w:r w:rsidRPr="00B516A6">
        <w:t xml:space="preserve">potraživanja za prihode od kamata na dane zajmove </w:t>
      </w:r>
      <w:r w:rsidRPr="00EC3246">
        <w:t>H</w:t>
      </w:r>
      <w:r>
        <w:t xml:space="preserve">rvatske Autoceste, </w:t>
      </w:r>
      <w:r w:rsidRPr="00EC3246">
        <w:t>A</w:t>
      </w:r>
      <w:r>
        <w:t xml:space="preserve">utocesta </w:t>
      </w:r>
      <w:r w:rsidRPr="00EC3246">
        <w:t>R</w:t>
      </w:r>
      <w:r>
        <w:t xml:space="preserve">ijeka - </w:t>
      </w:r>
      <w:r w:rsidRPr="00EC3246">
        <w:t>Z</w:t>
      </w:r>
      <w:r>
        <w:t xml:space="preserve">agreb u iznosu od </w:t>
      </w:r>
      <w:r w:rsidRPr="00EC3246">
        <w:t xml:space="preserve">314.004.184,80 </w:t>
      </w:r>
      <w:r>
        <w:t>kuna,</w:t>
      </w:r>
    </w:p>
    <w:p w14:paraId="7D0F2D5A" w14:textId="77777777" w:rsidR="00CF3957" w:rsidRPr="00B516A6" w:rsidRDefault="00CF3957" w:rsidP="00CF3957">
      <w:pPr>
        <w:numPr>
          <w:ilvl w:val="0"/>
          <w:numId w:val="5"/>
        </w:numPr>
        <w:tabs>
          <w:tab w:val="decimal" w:pos="8820"/>
        </w:tabs>
        <w:jc w:val="both"/>
      </w:pPr>
      <w:r w:rsidRPr="00B516A6">
        <w:t>potraživanja za prihode od kamata na dane zajmove po protestiranim jamstvima u iznosu od 920.194.998,49 kuna.</w:t>
      </w:r>
    </w:p>
    <w:p w14:paraId="4A4BCCE8" w14:textId="77777777" w:rsidR="00CF3957" w:rsidRDefault="00CF3957" w:rsidP="00CF3957">
      <w:pPr>
        <w:keepNext/>
        <w:jc w:val="center"/>
        <w:rPr>
          <w:sz w:val="28"/>
        </w:rPr>
      </w:pPr>
    </w:p>
    <w:p w14:paraId="5900B9D2" w14:textId="77777777" w:rsidR="00CF3957" w:rsidRPr="00C85DCC" w:rsidRDefault="00CF3957" w:rsidP="00CF3957">
      <w:pPr>
        <w:keepNext/>
        <w:jc w:val="center"/>
        <w:rPr>
          <w:sz w:val="28"/>
        </w:rPr>
      </w:pPr>
      <w:r w:rsidRPr="00C85DCC">
        <w:rPr>
          <w:sz w:val="28"/>
        </w:rPr>
        <w:t>Bilješka</w:t>
      </w:r>
      <w:r>
        <w:rPr>
          <w:sz w:val="28"/>
        </w:rPr>
        <w:t xml:space="preserve"> 16</w:t>
      </w:r>
      <w:r w:rsidRPr="00C85DCC">
        <w:rPr>
          <w:sz w:val="28"/>
        </w:rPr>
        <w:t>.</w:t>
      </w:r>
    </w:p>
    <w:p w14:paraId="0BE58974" w14:textId="77777777" w:rsidR="00CF3957" w:rsidRPr="00D42A73" w:rsidRDefault="00CF3957" w:rsidP="00CF3957">
      <w:pPr>
        <w:keepNext/>
        <w:jc w:val="center"/>
        <w:rPr>
          <w:sz w:val="28"/>
        </w:rPr>
      </w:pPr>
      <w:r>
        <w:rPr>
          <w:sz w:val="28"/>
        </w:rPr>
        <w:t>Šifra 165</w:t>
      </w:r>
      <w:r w:rsidRPr="00D42A73">
        <w:rPr>
          <w:sz w:val="28"/>
        </w:rPr>
        <w:t xml:space="preserve"> Potraživanja za upravne i administrativne pristojbe, pristojbe po posebnim propisima i naknade</w:t>
      </w:r>
    </w:p>
    <w:p w14:paraId="7FD6EAA6" w14:textId="77777777" w:rsidR="00CF3957" w:rsidRDefault="00CF3957" w:rsidP="00CF3957">
      <w:pPr>
        <w:keepNext/>
        <w:jc w:val="both"/>
      </w:pPr>
    </w:p>
    <w:p w14:paraId="72F4D564" w14:textId="77777777" w:rsidR="00CF3957" w:rsidRDefault="00CF3957" w:rsidP="00CF3957">
      <w:pPr>
        <w:keepNext/>
        <w:spacing w:before="120" w:after="120"/>
        <w:jc w:val="both"/>
      </w:pPr>
      <w:r w:rsidRPr="00D42A73">
        <w:t>Potraživanja za upravne i administrativne pristojbe, pristojbe po posebnim propisima i naknade na dan 31. prosinca 202</w:t>
      </w:r>
      <w:r>
        <w:t>2. godine iznose 47.404.146,50 kuna</w:t>
      </w:r>
      <w:r w:rsidRPr="00D42A73">
        <w:t xml:space="preserve">. </w:t>
      </w:r>
    </w:p>
    <w:p w14:paraId="35AB5D88" w14:textId="77777777" w:rsidR="00CF3957" w:rsidRPr="00A6347F" w:rsidRDefault="00CF3957" w:rsidP="00CF3957">
      <w:pPr>
        <w:keepNext/>
        <w:spacing w:before="120" w:after="120"/>
        <w:jc w:val="both"/>
      </w:pPr>
      <w:r w:rsidRPr="00A6347F">
        <w:t>Najznačajniji dio navedenih potraživanja odnosi se na potraživanja za naknade za izdana jamstva na dan 31. prosinca 2022. godine čiji je pregled dan u Tablici</w:t>
      </w:r>
      <w:r>
        <w:t xml:space="preserve"> 5.</w:t>
      </w:r>
      <w:r w:rsidRPr="00A6347F">
        <w:t xml:space="preserve"> u iznosu od </w:t>
      </w:r>
      <w:r>
        <w:t>46.911.810,33</w:t>
      </w:r>
      <w:r w:rsidRPr="00A6347F">
        <w:t xml:space="preserve"> kuna.</w:t>
      </w:r>
    </w:p>
    <w:p w14:paraId="0A2FFC28" w14:textId="77777777" w:rsidR="00CF3957" w:rsidRPr="00A6347F" w:rsidRDefault="00CF3957" w:rsidP="00CF3957"/>
    <w:p w14:paraId="6DE94486" w14:textId="77777777" w:rsidR="00CF3957" w:rsidRPr="00C02F15" w:rsidRDefault="00CF3957" w:rsidP="00CF3957">
      <w:pPr>
        <w:keepNext/>
        <w:jc w:val="both"/>
        <w:rPr>
          <w:sz w:val="28"/>
          <w:szCs w:val="28"/>
        </w:rPr>
      </w:pPr>
      <w:r w:rsidRPr="00A6347F">
        <w:rPr>
          <w:b/>
          <w:color w:val="FF0000"/>
          <w:sz w:val="20"/>
          <w:szCs w:val="20"/>
        </w:rPr>
        <w:lastRenderedPageBreak/>
        <w:tab/>
      </w:r>
      <w:r w:rsidRPr="005A00FF">
        <w:rPr>
          <w:b/>
          <w:sz w:val="20"/>
          <w:szCs w:val="20"/>
        </w:rPr>
        <w:t xml:space="preserve">Tablica </w:t>
      </w:r>
      <w:r>
        <w:rPr>
          <w:b/>
          <w:sz w:val="20"/>
          <w:szCs w:val="20"/>
        </w:rPr>
        <w:t>5</w:t>
      </w:r>
      <w:r w:rsidRPr="005A00FF">
        <w:rPr>
          <w:b/>
          <w:sz w:val="20"/>
          <w:szCs w:val="20"/>
        </w:rPr>
        <w:t>.</w:t>
      </w:r>
      <w:r w:rsidRPr="00C02F15">
        <w:rPr>
          <w:sz w:val="28"/>
          <w:szCs w:val="28"/>
        </w:rPr>
        <w:t xml:space="preserve"> </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786"/>
        <w:gridCol w:w="2816"/>
      </w:tblGrid>
      <w:tr w:rsidR="00CF3957" w:rsidRPr="00EF770E" w14:paraId="53E25753" w14:textId="77777777" w:rsidTr="001E71E3">
        <w:trPr>
          <w:trHeight w:val="510"/>
          <w:jc w:val="center"/>
        </w:trPr>
        <w:tc>
          <w:tcPr>
            <w:tcW w:w="978" w:type="dxa"/>
            <w:shd w:val="clear" w:color="auto" w:fill="auto"/>
            <w:vAlign w:val="center"/>
            <w:hideMark/>
          </w:tcPr>
          <w:p w14:paraId="28F6B926" w14:textId="77777777" w:rsidR="00CF3957" w:rsidRPr="00A14790" w:rsidRDefault="00CF3957" w:rsidP="001E71E3">
            <w:pPr>
              <w:keepNext/>
              <w:jc w:val="center"/>
              <w:rPr>
                <w:b/>
                <w:bCs/>
                <w:sz w:val="18"/>
                <w:szCs w:val="20"/>
              </w:rPr>
            </w:pPr>
            <w:r w:rsidRPr="00A14790">
              <w:rPr>
                <w:b/>
                <w:bCs/>
                <w:sz w:val="18"/>
                <w:szCs w:val="20"/>
              </w:rPr>
              <w:t>Red. broj</w:t>
            </w:r>
          </w:p>
        </w:tc>
        <w:tc>
          <w:tcPr>
            <w:tcW w:w="4786" w:type="dxa"/>
            <w:shd w:val="clear" w:color="auto" w:fill="auto"/>
            <w:noWrap/>
            <w:vAlign w:val="center"/>
            <w:hideMark/>
          </w:tcPr>
          <w:p w14:paraId="1C29B302" w14:textId="77777777" w:rsidR="00CF3957" w:rsidRPr="00A14790" w:rsidRDefault="00CF3957" w:rsidP="001E71E3">
            <w:pPr>
              <w:keepNext/>
              <w:jc w:val="center"/>
              <w:rPr>
                <w:b/>
                <w:bCs/>
                <w:sz w:val="18"/>
                <w:szCs w:val="20"/>
              </w:rPr>
            </w:pPr>
            <w:r w:rsidRPr="00A14790">
              <w:rPr>
                <w:b/>
                <w:bCs/>
                <w:sz w:val="18"/>
                <w:szCs w:val="20"/>
              </w:rPr>
              <w:t>Dužnik</w:t>
            </w:r>
          </w:p>
        </w:tc>
        <w:tc>
          <w:tcPr>
            <w:tcW w:w="2816" w:type="dxa"/>
            <w:shd w:val="clear" w:color="auto" w:fill="auto"/>
            <w:vAlign w:val="center"/>
            <w:hideMark/>
          </w:tcPr>
          <w:p w14:paraId="06C52328" w14:textId="77777777" w:rsidR="00CF3957" w:rsidRPr="00A14790" w:rsidRDefault="00CF3957" w:rsidP="001E71E3">
            <w:pPr>
              <w:keepNext/>
              <w:jc w:val="center"/>
              <w:rPr>
                <w:b/>
                <w:bCs/>
                <w:sz w:val="18"/>
                <w:szCs w:val="20"/>
              </w:rPr>
            </w:pPr>
            <w:r w:rsidRPr="00A14790">
              <w:rPr>
                <w:b/>
                <w:bCs/>
                <w:sz w:val="18"/>
                <w:szCs w:val="20"/>
              </w:rPr>
              <w:t>Stanje ukupnih potraživanja na 31.12.2022.</w:t>
            </w:r>
          </w:p>
        </w:tc>
      </w:tr>
      <w:tr w:rsidR="00CF3957" w:rsidRPr="00EF770E" w14:paraId="69654C3F" w14:textId="77777777" w:rsidTr="001E71E3">
        <w:trPr>
          <w:trHeight w:val="278"/>
          <w:jc w:val="center"/>
        </w:trPr>
        <w:tc>
          <w:tcPr>
            <w:tcW w:w="978" w:type="dxa"/>
            <w:shd w:val="clear" w:color="auto" w:fill="auto"/>
            <w:noWrap/>
            <w:vAlign w:val="center"/>
          </w:tcPr>
          <w:p w14:paraId="2D3CE1EC" w14:textId="77777777" w:rsidR="00CF3957" w:rsidRPr="00A14790" w:rsidRDefault="00CF3957" w:rsidP="001E71E3">
            <w:pPr>
              <w:keepNext/>
              <w:jc w:val="center"/>
              <w:rPr>
                <w:sz w:val="20"/>
                <w:szCs w:val="20"/>
              </w:rPr>
            </w:pPr>
            <w:r>
              <w:rPr>
                <w:sz w:val="20"/>
                <w:szCs w:val="20"/>
              </w:rPr>
              <w:t>1.</w:t>
            </w:r>
          </w:p>
        </w:tc>
        <w:tc>
          <w:tcPr>
            <w:tcW w:w="4786" w:type="dxa"/>
            <w:shd w:val="clear" w:color="auto" w:fill="auto"/>
            <w:noWrap/>
            <w:vAlign w:val="center"/>
          </w:tcPr>
          <w:p w14:paraId="13B3DB40" w14:textId="77777777" w:rsidR="00CF3957" w:rsidRPr="00A14790" w:rsidRDefault="00CF3957" w:rsidP="001E71E3">
            <w:pPr>
              <w:keepNext/>
              <w:rPr>
                <w:sz w:val="20"/>
                <w:szCs w:val="20"/>
              </w:rPr>
            </w:pPr>
            <w:r w:rsidRPr="00A14790">
              <w:rPr>
                <w:sz w:val="20"/>
                <w:szCs w:val="20"/>
              </w:rPr>
              <w:t>3. MAJ BRODOGRADILIŠTE D.D.</w:t>
            </w:r>
          </w:p>
        </w:tc>
        <w:tc>
          <w:tcPr>
            <w:tcW w:w="2816" w:type="dxa"/>
            <w:shd w:val="clear" w:color="auto" w:fill="auto"/>
            <w:noWrap/>
            <w:vAlign w:val="center"/>
          </w:tcPr>
          <w:p w14:paraId="75EEE8C9" w14:textId="77777777" w:rsidR="00CF3957" w:rsidRPr="00A14790" w:rsidRDefault="00CF3957" w:rsidP="001E71E3">
            <w:pPr>
              <w:keepNext/>
              <w:jc w:val="right"/>
              <w:rPr>
                <w:sz w:val="20"/>
                <w:szCs w:val="20"/>
              </w:rPr>
            </w:pPr>
            <w:r w:rsidRPr="00A14790">
              <w:rPr>
                <w:sz w:val="20"/>
                <w:szCs w:val="20"/>
              </w:rPr>
              <w:t>1.467.384,80</w:t>
            </w:r>
          </w:p>
        </w:tc>
      </w:tr>
      <w:tr w:rsidR="00CF3957" w:rsidRPr="00EF770E" w14:paraId="0568B658" w14:textId="77777777" w:rsidTr="001E71E3">
        <w:trPr>
          <w:trHeight w:val="278"/>
          <w:jc w:val="center"/>
        </w:trPr>
        <w:tc>
          <w:tcPr>
            <w:tcW w:w="978" w:type="dxa"/>
            <w:shd w:val="clear" w:color="auto" w:fill="auto"/>
            <w:noWrap/>
            <w:vAlign w:val="center"/>
          </w:tcPr>
          <w:p w14:paraId="6E2AF602" w14:textId="77777777" w:rsidR="00CF3957" w:rsidRPr="00A14790" w:rsidRDefault="00CF3957" w:rsidP="001E71E3">
            <w:pPr>
              <w:keepNext/>
              <w:jc w:val="center"/>
              <w:rPr>
                <w:sz w:val="20"/>
                <w:szCs w:val="20"/>
              </w:rPr>
            </w:pPr>
            <w:r>
              <w:rPr>
                <w:sz w:val="20"/>
                <w:szCs w:val="20"/>
              </w:rPr>
              <w:t>2.</w:t>
            </w:r>
          </w:p>
        </w:tc>
        <w:tc>
          <w:tcPr>
            <w:tcW w:w="4786" w:type="dxa"/>
            <w:shd w:val="clear" w:color="auto" w:fill="auto"/>
            <w:noWrap/>
            <w:vAlign w:val="center"/>
          </w:tcPr>
          <w:p w14:paraId="012CA4DD" w14:textId="77777777" w:rsidR="00CF3957" w:rsidRPr="00A14790" w:rsidRDefault="00CF3957" w:rsidP="001E71E3">
            <w:pPr>
              <w:keepNext/>
              <w:rPr>
                <w:sz w:val="20"/>
                <w:szCs w:val="20"/>
              </w:rPr>
            </w:pPr>
            <w:r w:rsidRPr="00A14790">
              <w:rPr>
                <w:sz w:val="20"/>
                <w:szCs w:val="20"/>
              </w:rPr>
              <w:t>JADROPLOV D.D.</w:t>
            </w:r>
          </w:p>
        </w:tc>
        <w:tc>
          <w:tcPr>
            <w:tcW w:w="2816" w:type="dxa"/>
            <w:shd w:val="clear" w:color="auto" w:fill="auto"/>
            <w:noWrap/>
            <w:vAlign w:val="center"/>
          </w:tcPr>
          <w:p w14:paraId="28BD68C3" w14:textId="77777777" w:rsidR="00CF3957" w:rsidRPr="00A14790" w:rsidRDefault="00CF3957" w:rsidP="001E71E3">
            <w:pPr>
              <w:keepNext/>
              <w:jc w:val="right"/>
              <w:rPr>
                <w:sz w:val="20"/>
                <w:szCs w:val="20"/>
              </w:rPr>
            </w:pPr>
            <w:r w:rsidRPr="00A14790">
              <w:rPr>
                <w:sz w:val="20"/>
                <w:szCs w:val="20"/>
              </w:rPr>
              <w:t>344.143,75</w:t>
            </w:r>
          </w:p>
        </w:tc>
      </w:tr>
      <w:tr w:rsidR="00CF3957" w:rsidRPr="00EF770E" w14:paraId="6334E9EA" w14:textId="77777777" w:rsidTr="001E71E3">
        <w:trPr>
          <w:trHeight w:val="278"/>
          <w:jc w:val="center"/>
        </w:trPr>
        <w:tc>
          <w:tcPr>
            <w:tcW w:w="978" w:type="dxa"/>
            <w:shd w:val="clear" w:color="auto" w:fill="auto"/>
            <w:noWrap/>
            <w:vAlign w:val="center"/>
          </w:tcPr>
          <w:p w14:paraId="1D28011C" w14:textId="77777777" w:rsidR="00CF3957" w:rsidRPr="00A14790" w:rsidRDefault="00CF3957" w:rsidP="001E71E3">
            <w:pPr>
              <w:keepNext/>
              <w:jc w:val="center"/>
              <w:rPr>
                <w:sz w:val="20"/>
                <w:szCs w:val="20"/>
              </w:rPr>
            </w:pPr>
            <w:r>
              <w:rPr>
                <w:sz w:val="20"/>
                <w:szCs w:val="20"/>
              </w:rPr>
              <w:t>3</w:t>
            </w:r>
            <w:r w:rsidRPr="00A14790">
              <w:rPr>
                <w:sz w:val="20"/>
                <w:szCs w:val="20"/>
              </w:rPr>
              <w:t>.</w:t>
            </w:r>
          </w:p>
        </w:tc>
        <w:tc>
          <w:tcPr>
            <w:tcW w:w="4786" w:type="dxa"/>
            <w:shd w:val="clear" w:color="auto" w:fill="auto"/>
            <w:noWrap/>
            <w:vAlign w:val="center"/>
          </w:tcPr>
          <w:p w14:paraId="22BF54AC" w14:textId="77777777" w:rsidR="00CF3957" w:rsidRPr="00A14790" w:rsidRDefault="00CF3957" w:rsidP="001E71E3">
            <w:pPr>
              <w:keepNext/>
              <w:rPr>
                <w:sz w:val="20"/>
                <w:szCs w:val="20"/>
              </w:rPr>
            </w:pPr>
            <w:r w:rsidRPr="00A14790">
              <w:rPr>
                <w:sz w:val="20"/>
                <w:szCs w:val="20"/>
              </w:rPr>
              <w:t>ĐURO ĐAKOVIĆ GRUPA D.D.</w:t>
            </w:r>
          </w:p>
        </w:tc>
        <w:tc>
          <w:tcPr>
            <w:tcW w:w="2816" w:type="dxa"/>
            <w:shd w:val="clear" w:color="auto" w:fill="auto"/>
            <w:noWrap/>
            <w:vAlign w:val="center"/>
          </w:tcPr>
          <w:p w14:paraId="211FFCE0" w14:textId="77777777" w:rsidR="00CF3957" w:rsidRPr="00A14790" w:rsidRDefault="00CF3957" w:rsidP="001E71E3">
            <w:pPr>
              <w:keepNext/>
              <w:jc w:val="right"/>
              <w:rPr>
                <w:sz w:val="20"/>
                <w:szCs w:val="20"/>
              </w:rPr>
            </w:pPr>
            <w:r w:rsidRPr="00A14790">
              <w:rPr>
                <w:sz w:val="20"/>
                <w:szCs w:val="20"/>
              </w:rPr>
              <w:t>1.617.458,12</w:t>
            </w:r>
          </w:p>
        </w:tc>
      </w:tr>
      <w:tr w:rsidR="00CF3957" w:rsidRPr="00EF770E" w14:paraId="3707248D" w14:textId="77777777" w:rsidTr="001E71E3">
        <w:trPr>
          <w:trHeight w:val="278"/>
          <w:jc w:val="center"/>
        </w:trPr>
        <w:tc>
          <w:tcPr>
            <w:tcW w:w="978" w:type="dxa"/>
            <w:shd w:val="clear" w:color="auto" w:fill="auto"/>
            <w:noWrap/>
            <w:vAlign w:val="center"/>
          </w:tcPr>
          <w:p w14:paraId="7FFE919B" w14:textId="77777777" w:rsidR="00CF3957" w:rsidRPr="00A14790" w:rsidRDefault="00CF3957" w:rsidP="001E71E3">
            <w:pPr>
              <w:keepNext/>
              <w:jc w:val="center"/>
              <w:rPr>
                <w:sz w:val="20"/>
                <w:szCs w:val="20"/>
              </w:rPr>
            </w:pPr>
            <w:r>
              <w:rPr>
                <w:sz w:val="20"/>
                <w:szCs w:val="20"/>
              </w:rPr>
              <w:t>4</w:t>
            </w:r>
            <w:r w:rsidRPr="00A14790">
              <w:rPr>
                <w:sz w:val="20"/>
                <w:szCs w:val="20"/>
              </w:rPr>
              <w:t>.</w:t>
            </w:r>
          </w:p>
        </w:tc>
        <w:tc>
          <w:tcPr>
            <w:tcW w:w="4786" w:type="dxa"/>
            <w:shd w:val="clear" w:color="auto" w:fill="auto"/>
            <w:noWrap/>
            <w:vAlign w:val="center"/>
          </w:tcPr>
          <w:p w14:paraId="6424D680" w14:textId="77777777" w:rsidR="00CF3957" w:rsidRPr="00A14790" w:rsidRDefault="00CF3957" w:rsidP="001E71E3">
            <w:pPr>
              <w:keepNext/>
              <w:rPr>
                <w:sz w:val="20"/>
                <w:szCs w:val="20"/>
              </w:rPr>
            </w:pPr>
            <w:r w:rsidRPr="00A14790">
              <w:rPr>
                <w:sz w:val="20"/>
                <w:szCs w:val="20"/>
              </w:rPr>
              <w:t>ĐURO ĐAKOVIĆ SPECIJALNA VOZILA D.D.</w:t>
            </w:r>
          </w:p>
        </w:tc>
        <w:tc>
          <w:tcPr>
            <w:tcW w:w="2816" w:type="dxa"/>
            <w:shd w:val="clear" w:color="auto" w:fill="auto"/>
            <w:noWrap/>
            <w:vAlign w:val="center"/>
          </w:tcPr>
          <w:p w14:paraId="7445DB9E" w14:textId="77777777" w:rsidR="00CF3957" w:rsidRPr="00A14790" w:rsidRDefault="00CF3957" w:rsidP="001E71E3">
            <w:pPr>
              <w:keepNext/>
              <w:jc w:val="right"/>
              <w:rPr>
                <w:sz w:val="20"/>
                <w:szCs w:val="20"/>
              </w:rPr>
            </w:pPr>
            <w:r w:rsidRPr="00A14790">
              <w:rPr>
                <w:sz w:val="20"/>
                <w:szCs w:val="20"/>
              </w:rPr>
              <w:t>2.428.605,25</w:t>
            </w:r>
          </w:p>
        </w:tc>
      </w:tr>
      <w:tr w:rsidR="00CF3957" w:rsidRPr="00EF770E" w14:paraId="7DC95161" w14:textId="77777777" w:rsidTr="001E71E3">
        <w:trPr>
          <w:trHeight w:val="278"/>
          <w:jc w:val="center"/>
        </w:trPr>
        <w:tc>
          <w:tcPr>
            <w:tcW w:w="978" w:type="dxa"/>
            <w:shd w:val="clear" w:color="auto" w:fill="auto"/>
            <w:noWrap/>
            <w:vAlign w:val="center"/>
          </w:tcPr>
          <w:p w14:paraId="2811FB48" w14:textId="77777777" w:rsidR="00CF3957" w:rsidRPr="00A14790" w:rsidRDefault="00CF3957" w:rsidP="001E71E3">
            <w:pPr>
              <w:keepNext/>
              <w:jc w:val="center"/>
              <w:rPr>
                <w:sz w:val="20"/>
                <w:szCs w:val="20"/>
              </w:rPr>
            </w:pPr>
            <w:r>
              <w:rPr>
                <w:sz w:val="20"/>
                <w:szCs w:val="20"/>
              </w:rPr>
              <w:t>5</w:t>
            </w:r>
            <w:r w:rsidRPr="00A14790">
              <w:rPr>
                <w:sz w:val="20"/>
                <w:szCs w:val="20"/>
              </w:rPr>
              <w:t>.</w:t>
            </w:r>
          </w:p>
        </w:tc>
        <w:tc>
          <w:tcPr>
            <w:tcW w:w="4786" w:type="dxa"/>
            <w:shd w:val="clear" w:color="auto" w:fill="auto"/>
            <w:noWrap/>
            <w:vAlign w:val="center"/>
          </w:tcPr>
          <w:p w14:paraId="54E1CCA0" w14:textId="77777777" w:rsidR="00CF3957" w:rsidRPr="00A14790" w:rsidRDefault="00CF3957" w:rsidP="001E71E3">
            <w:pPr>
              <w:keepNext/>
              <w:rPr>
                <w:sz w:val="20"/>
                <w:szCs w:val="20"/>
              </w:rPr>
            </w:pPr>
            <w:r w:rsidRPr="00A14790">
              <w:rPr>
                <w:sz w:val="20"/>
                <w:szCs w:val="20"/>
              </w:rPr>
              <w:t>BRODOGRAĐEVNA INDUSTRIJA SPLIT D.D.</w:t>
            </w:r>
          </w:p>
        </w:tc>
        <w:tc>
          <w:tcPr>
            <w:tcW w:w="2816" w:type="dxa"/>
            <w:shd w:val="clear" w:color="auto" w:fill="auto"/>
            <w:noWrap/>
            <w:vAlign w:val="center"/>
          </w:tcPr>
          <w:p w14:paraId="7573FD4C" w14:textId="77777777" w:rsidR="00CF3957" w:rsidRPr="00A14790" w:rsidRDefault="00CF3957" w:rsidP="001E71E3">
            <w:pPr>
              <w:keepNext/>
              <w:jc w:val="right"/>
              <w:rPr>
                <w:sz w:val="20"/>
                <w:szCs w:val="20"/>
              </w:rPr>
            </w:pPr>
            <w:r w:rsidRPr="00A14790">
              <w:rPr>
                <w:sz w:val="20"/>
                <w:szCs w:val="20"/>
              </w:rPr>
              <w:t>1.263.247,00</w:t>
            </w:r>
          </w:p>
        </w:tc>
      </w:tr>
      <w:tr w:rsidR="00CF3957" w:rsidRPr="00EF770E" w14:paraId="542D6FE9" w14:textId="77777777" w:rsidTr="001E71E3">
        <w:trPr>
          <w:trHeight w:val="278"/>
          <w:jc w:val="center"/>
        </w:trPr>
        <w:tc>
          <w:tcPr>
            <w:tcW w:w="978" w:type="dxa"/>
            <w:shd w:val="clear" w:color="auto" w:fill="auto"/>
            <w:noWrap/>
            <w:vAlign w:val="center"/>
          </w:tcPr>
          <w:p w14:paraId="2F43F159" w14:textId="77777777" w:rsidR="00CF3957" w:rsidRPr="00A14790" w:rsidRDefault="00CF3957" w:rsidP="001E71E3">
            <w:pPr>
              <w:keepNext/>
              <w:jc w:val="center"/>
              <w:rPr>
                <w:sz w:val="20"/>
                <w:szCs w:val="20"/>
              </w:rPr>
            </w:pPr>
            <w:r>
              <w:rPr>
                <w:sz w:val="20"/>
                <w:szCs w:val="20"/>
              </w:rPr>
              <w:t>6</w:t>
            </w:r>
            <w:r w:rsidRPr="00A14790">
              <w:rPr>
                <w:sz w:val="20"/>
                <w:szCs w:val="20"/>
              </w:rPr>
              <w:t>.</w:t>
            </w:r>
          </w:p>
        </w:tc>
        <w:tc>
          <w:tcPr>
            <w:tcW w:w="4786" w:type="dxa"/>
            <w:shd w:val="clear" w:color="auto" w:fill="auto"/>
            <w:noWrap/>
            <w:vAlign w:val="center"/>
          </w:tcPr>
          <w:p w14:paraId="5C8EA797" w14:textId="77777777" w:rsidR="00CF3957" w:rsidRPr="00A14790" w:rsidRDefault="00CF3957" w:rsidP="001E71E3">
            <w:pPr>
              <w:keepNext/>
              <w:rPr>
                <w:sz w:val="20"/>
                <w:szCs w:val="20"/>
              </w:rPr>
            </w:pPr>
            <w:r w:rsidRPr="00A14790">
              <w:rPr>
                <w:sz w:val="20"/>
                <w:szCs w:val="20"/>
              </w:rPr>
              <w:t>ULJANIK BRODOGRADNJA 1856 D.O.O.</w:t>
            </w:r>
          </w:p>
        </w:tc>
        <w:tc>
          <w:tcPr>
            <w:tcW w:w="2816" w:type="dxa"/>
            <w:shd w:val="clear" w:color="auto" w:fill="auto"/>
            <w:noWrap/>
            <w:vAlign w:val="center"/>
          </w:tcPr>
          <w:p w14:paraId="67C037E6" w14:textId="77777777" w:rsidR="00CF3957" w:rsidRPr="00A14790" w:rsidRDefault="00CF3957" w:rsidP="001E71E3">
            <w:pPr>
              <w:keepNext/>
              <w:jc w:val="right"/>
              <w:rPr>
                <w:sz w:val="20"/>
                <w:szCs w:val="20"/>
              </w:rPr>
            </w:pPr>
            <w:r w:rsidRPr="00A14790">
              <w:rPr>
                <w:sz w:val="20"/>
                <w:szCs w:val="20"/>
              </w:rPr>
              <w:t>5.916,01</w:t>
            </w:r>
          </w:p>
        </w:tc>
      </w:tr>
      <w:tr w:rsidR="00CF3957" w:rsidRPr="00EF770E" w14:paraId="0FFDF4EF" w14:textId="77777777" w:rsidTr="001E71E3">
        <w:trPr>
          <w:trHeight w:val="278"/>
          <w:jc w:val="center"/>
        </w:trPr>
        <w:tc>
          <w:tcPr>
            <w:tcW w:w="978" w:type="dxa"/>
            <w:shd w:val="clear" w:color="auto" w:fill="auto"/>
            <w:noWrap/>
            <w:vAlign w:val="center"/>
          </w:tcPr>
          <w:p w14:paraId="6E2B130F" w14:textId="77777777" w:rsidR="00CF3957" w:rsidRPr="00A14790" w:rsidRDefault="00CF3957" w:rsidP="001E71E3">
            <w:pPr>
              <w:keepNext/>
              <w:jc w:val="center"/>
              <w:rPr>
                <w:sz w:val="20"/>
                <w:szCs w:val="20"/>
              </w:rPr>
            </w:pPr>
            <w:r>
              <w:rPr>
                <w:sz w:val="20"/>
                <w:szCs w:val="20"/>
              </w:rPr>
              <w:t>7</w:t>
            </w:r>
            <w:r w:rsidRPr="00A14790">
              <w:rPr>
                <w:sz w:val="20"/>
                <w:szCs w:val="20"/>
              </w:rPr>
              <w:t>.</w:t>
            </w:r>
          </w:p>
        </w:tc>
        <w:tc>
          <w:tcPr>
            <w:tcW w:w="4786" w:type="dxa"/>
            <w:shd w:val="clear" w:color="auto" w:fill="auto"/>
            <w:noWrap/>
            <w:vAlign w:val="center"/>
          </w:tcPr>
          <w:p w14:paraId="0587295A" w14:textId="77777777" w:rsidR="00CF3957" w:rsidRPr="00A14790" w:rsidRDefault="00CF3957" w:rsidP="001E71E3">
            <w:pPr>
              <w:keepNext/>
              <w:rPr>
                <w:sz w:val="20"/>
                <w:szCs w:val="20"/>
              </w:rPr>
            </w:pPr>
            <w:r w:rsidRPr="00A14790">
              <w:rPr>
                <w:sz w:val="20"/>
                <w:szCs w:val="20"/>
              </w:rPr>
              <w:t>MKM YACHTS D.O.O.</w:t>
            </w:r>
          </w:p>
        </w:tc>
        <w:tc>
          <w:tcPr>
            <w:tcW w:w="2816" w:type="dxa"/>
            <w:shd w:val="clear" w:color="auto" w:fill="auto"/>
            <w:noWrap/>
            <w:vAlign w:val="center"/>
          </w:tcPr>
          <w:p w14:paraId="2D4A21C3" w14:textId="77777777" w:rsidR="00CF3957" w:rsidRPr="00A14790" w:rsidRDefault="00CF3957" w:rsidP="001E71E3">
            <w:pPr>
              <w:keepNext/>
              <w:jc w:val="right"/>
              <w:rPr>
                <w:sz w:val="20"/>
                <w:szCs w:val="20"/>
              </w:rPr>
            </w:pPr>
            <w:r w:rsidRPr="00A14790">
              <w:rPr>
                <w:sz w:val="20"/>
                <w:szCs w:val="20"/>
              </w:rPr>
              <w:t>1.238.436,65</w:t>
            </w:r>
          </w:p>
        </w:tc>
      </w:tr>
      <w:tr w:rsidR="00CF3957" w:rsidRPr="00EF770E" w14:paraId="4581C705" w14:textId="77777777" w:rsidTr="001E71E3">
        <w:trPr>
          <w:trHeight w:val="278"/>
          <w:jc w:val="center"/>
        </w:trPr>
        <w:tc>
          <w:tcPr>
            <w:tcW w:w="978" w:type="dxa"/>
            <w:shd w:val="clear" w:color="auto" w:fill="auto"/>
            <w:noWrap/>
            <w:vAlign w:val="center"/>
          </w:tcPr>
          <w:p w14:paraId="1CAA260E" w14:textId="77777777" w:rsidR="00CF3957" w:rsidRPr="00A14790" w:rsidRDefault="00CF3957" w:rsidP="001E71E3">
            <w:pPr>
              <w:keepNext/>
              <w:jc w:val="center"/>
              <w:rPr>
                <w:sz w:val="20"/>
                <w:szCs w:val="20"/>
              </w:rPr>
            </w:pPr>
            <w:r>
              <w:rPr>
                <w:sz w:val="20"/>
                <w:szCs w:val="20"/>
              </w:rPr>
              <w:t>8</w:t>
            </w:r>
            <w:r w:rsidRPr="00A14790">
              <w:rPr>
                <w:sz w:val="20"/>
                <w:szCs w:val="20"/>
              </w:rPr>
              <w:t>.</w:t>
            </w:r>
          </w:p>
        </w:tc>
        <w:tc>
          <w:tcPr>
            <w:tcW w:w="4786" w:type="dxa"/>
            <w:shd w:val="clear" w:color="auto" w:fill="auto"/>
            <w:noWrap/>
            <w:vAlign w:val="center"/>
          </w:tcPr>
          <w:p w14:paraId="4682A786" w14:textId="77777777" w:rsidR="00CF3957" w:rsidRPr="00A14790" w:rsidRDefault="00CF3957" w:rsidP="001E71E3">
            <w:pPr>
              <w:keepNext/>
              <w:rPr>
                <w:sz w:val="20"/>
                <w:szCs w:val="20"/>
              </w:rPr>
            </w:pPr>
            <w:r w:rsidRPr="00A14790">
              <w:rPr>
                <w:sz w:val="20"/>
                <w:szCs w:val="20"/>
              </w:rPr>
              <w:t>ULJANIK BRODOGRADILIŠTE D.D. U STEČAJU</w:t>
            </w:r>
          </w:p>
        </w:tc>
        <w:tc>
          <w:tcPr>
            <w:tcW w:w="2816" w:type="dxa"/>
            <w:shd w:val="clear" w:color="auto" w:fill="auto"/>
            <w:noWrap/>
            <w:vAlign w:val="center"/>
          </w:tcPr>
          <w:p w14:paraId="1D61A19D" w14:textId="77777777" w:rsidR="00CF3957" w:rsidRPr="00A14790" w:rsidRDefault="00CF3957" w:rsidP="001E71E3">
            <w:pPr>
              <w:keepNext/>
              <w:jc w:val="right"/>
              <w:rPr>
                <w:sz w:val="20"/>
                <w:szCs w:val="20"/>
              </w:rPr>
            </w:pPr>
            <w:r w:rsidRPr="00A14790">
              <w:rPr>
                <w:sz w:val="20"/>
                <w:szCs w:val="20"/>
              </w:rPr>
              <w:t>838.984,22</w:t>
            </w:r>
          </w:p>
        </w:tc>
      </w:tr>
      <w:tr w:rsidR="00CF3957" w:rsidRPr="00EF770E" w14:paraId="65FEFB07" w14:textId="77777777" w:rsidTr="001E71E3">
        <w:trPr>
          <w:trHeight w:val="278"/>
          <w:jc w:val="center"/>
        </w:trPr>
        <w:tc>
          <w:tcPr>
            <w:tcW w:w="978" w:type="dxa"/>
            <w:shd w:val="clear" w:color="auto" w:fill="auto"/>
            <w:noWrap/>
            <w:vAlign w:val="center"/>
          </w:tcPr>
          <w:p w14:paraId="1EBCF37E" w14:textId="77777777" w:rsidR="00CF3957" w:rsidRPr="00A14790" w:rsidRDefault="00CF3957" w:rsidP="001E71E3">
            <w:pPr>
              <w:keepNext/>
              <w:jc w:val="center"/>
              <w:rPr>
                <w:sz w:val="20"/>
                <w:szCs w:val="20"/>
              </w:rPr>
            </w:pPr>
            <w:r>
              <w:rPr>
                <w:sz w:val="20"/>
                <w:szCs w:val="20"/>
              </w:rPr>
              <w:t>9</w:t>
            </w:r>
            <w:r w:rsidRPr="00A14790">
              <w:rPr>
                <w:sz w:val="20"/>
                <w:szCs w:val="20"/>
              </w:rPr>
              <w:t>.</w:t>
            </w:r>
          </w:p>
        </w:tc>
        <w:tc>
          <w:tcPr>
            <w:tcW w:w="4786" w:type="dxa"/>
            <w:shd w:val="clear" w:color="auto" w:fill="auto"/>
            <w:noWrap/>
            <w:vAlign w:val="center"/>
          </w:tcPr>
          <w:p w14:paraId="51D5F919" w14:textId="77777777" w:rsidR="00CF3957" w:rsidRPr="00A14790" w:rsidRDefault="00CF3957" w:rsidP="001E71E3">
            <w:pPr>
              <w:keepNext/>
              <w:rPr>
                <w:sz w:val="20"/>
                <w:szCs w:val="20"/>
              </w:rPr>
            </w:pPr>
            <w:r w:rsidRPr="00A14790">
              <w:rPr>
                <w:sz w:val="20"/>
                <w:szCs w:val="20"/>
              </w:rPr>
              <w:t>ULJANIK D.D. U STEČAJU</w:t>
            </w:r>
          </w:p>
        </w:tc>
        <w:tc>
          <w:tcPr>
            <w:tcW w:w="2816" w:type="dxa"/>
            <w:shd w:val="clear" w:color="auto" w:fill="auto"/>
            <w:noWrap/>
            <w:vAlign w:val="center"/>
          </w:tcPr>
          <w:p w14:paraId="18C20322" w14:textId="77777777" w:rsidR="00CF3957" w:rsidRPr="00A14790" w:rsidRDefault="00CF3957" w:rsidP="001E71E3">
            <w:pPr>
              <w:keepNext/>
              <w:jc w:val="right"/>
              <w:rPr>
                <w:sz w:val="20"/>
                <w:szCs w:val="20"/>
              </w:rPr>
            </w:pPr>
            <w:r w:rsidRPr="00A14790">
              <w:rPr>
                <w:sz w:val="20"/>
                <w:szCs w:val="20"/>
              </w:rPr>
              <w:t>37.630.577,31</w:t>
            </w:r>
          </w:p>
        </w:tc>
      </w:tr>
      <w:tr w:rsidR="00CF3957" w:rsidRPr="00EF770E" w14:paraId="741E9CF6" w14:textId="77777777" w:rsidTr="001E71E3">
        <w:trPr>
          <w:trHeight w:val="278"/>
          <w:jc w:val="center"/>
        </w:trPr>
        <w:tc>
          <w:tcPr>
            <w:tcW w:w="978" w:type="dxa"/>
            <w:shd w:val="clear" w:color="auto" w:fill="auto"/>
            <w:noWrap/>
            <w:vAlign w:val="center"/>
          </w:tcPr>
          <w:p w14:paraId="01F126EB" w14:textId="77777777" w:rsidR="00CF3957" w:rsidRPr="00A14790" w:rsidRDefault="00CF3957" w:rsidP="001E71E3">
            <w:pPr>
              <w:keepNext/>
              <w:jc w:val="center"/>
              <w:rPr>
                <w:sz w:val="20"/>
                <w:szCs w:val="20"/>
              </w:rPr>
            </w:pPr>
            <w:r>
              <w:rPr>
                <w:sz w:val="20"/>
                <w:szCs w:val="20"/>
              </w:rPr>
              <w:t>10</w:t>
            </w:r>
            <w:r w:rsidRPr="00A14790">
              <w:rPr>
                <w:sz w:val="20"/>
                <w:szCs w:val="20"/>
              </w:rPr>
              <w:t>.</w:t>
            </w:r>
          </w:p>
        </w:tc>
        <w:tc>
          <w:tcPr>
            <w:tcW w:w="4786" w:type="dxa"/>
            <w:shd w:val="clear" w:color="auto" w:fill="auto"/>
            <w:noWrap/>
            <w:vAlign w:val="center"/>
          </w:tcPr>
          <w:p w14:paraId="1B6EC404" w14:textId="77777777" w:rsidR="00CF3957" w:rsidRPr="00A14790" w:rsidRDefault="00CF3957" w:rsidP="001E71E3">
            <w:pPr>
              <w:keepNext/>
              <w:rPr>
                <w:sz w:val="20"/>
                <w:szCs w:val="20"/>
              </w:rPr>
            </w:pPr>
            <w:r w:rsidRPr="00A14790">
              <w:rPr>
                <w:sz w:val="20"/>
                <w:szCs w:val="20"/>
              </w:rPr>
              <w:t>BRODOTROGIR CRUISE D.O.O.</w:t>
            </w:r>
          </w:p>
        </w:tc>
        <w:tc>
          <w:tcPr>
            <w:tcW w:w="2816" w:type="dxa"/>
            <w:shd w:val="clear" w:color="auto" w:fill="auto"/>
            <w:noWrap/>
            <w:vAlign w:val="center"/>
          </w:tcPr>
          <w:p w14:paraId="03627B3E" w14:textId="77777777" w:rsidR="00CF3957" w:rsidRPr="00A14790" w:rsidRDefault="00CF3957" w:rsidP="001E71E3">
            <w:pPr>
              <w:keepNext/>
              <w:jc w:val="right"/>
              <w:rPr>
                <w:sz w:val="20"/>
                <w:szCs w:val="20"/>
              </w:rPr>
            </w:pPr>
            <w:r w:rsidRPr="00A14790">
              <w:rPr>
                <w:sz w:val="20"/>
                <w:szCs w:val="20"/>
              </w:rPr>
              <w:t>77.057,22</w:t>
            </w:r>
          </w:p>
        </w:tc>
      </w:tr>
      <w:tr w:rsidR="00CF3957" w:rsidRPr="005A00FF" w14:paraId="5A8682BB" w14:textId="77777777" w:rsidTr="001E71E3">
        <w:trPr>
          <w:trHeight w:val="278"/>
          <w:jc w:val="center"/>
        </w:trPr>
        <w:tc>
          <w:tcPr>
            <w:tcW w:w="978" w:type="dxa"/>
            <w:shd w:val="clear" w:color="auto" w:fill="auto"/>
            <w:noWrap/>
            <w:vAlign w:val="center"/>
          </w:tcPr>
          <w:p w14:paraId="55788659" w14:textId="77777777" w:rsidR="00CF3957" w:rsidRPr="00A14790" w:rsidRDefault="00CF3957" w:rsidP="001E71E3">
            <w:pPr>
              <w:keepNext/>
              <w:jc w:val="center"/>
              <w:rPr>
                <w:sz w:val="20"/>
                <w:szCs w:val="20"/>
              </w:rPr>
            </w:pPr>
          </w:p>
        </w:tc>
        <w:tc>
          <w:tcPr>
            <w:tcW w:w="4786" w:type="dxa"/>
            <w:shd w:val="clear" w:color="auto" w:fill="auto"/>
            <w:noWrap/>
            <w:vAlign w:val="center"/>
          </w:tcPr>
          <w:p w14:paraId="0BC6DD47" w14:textId="77777777" w:rsidR="00CF3957" w:rsidRPr="00A14790" w:rsidRDefault="00CF3957" w:rsidP="001E71E3">
            <w:pPr>
              <w:keepNext/>
              <w:rPr>
                <w:b/>
                <w:sz w:val="20"/>
                <w:szCs w:val="20"/>
              </w:rPr>
            </w:pPr>
            <w:r w:rsidRPr="00A14790">
              <w:rPr>
                <w:b/>
                <w:sz w:val="20"/>
                <w:szCs w:val="20"/>
              </w:rPr>
              <w:t>UKUPNO</w:t>
            </w:r>
          </w:p>
        </w:tc>
        <w:tc>
          <w:tcPr>
            <w:tcW w:w="2816" w:type="dxa"/>
            <w:shd w:val="clear" w:color="auto" w:fill="auto"/>
            <w:noWrap/>
            <w:vAlign w:val="center"/>
          </w:tcPr>
          <w:p w14:paraId="67239135" w14:textId="77777777" w:rsidR="00CF3957" w:rsidRPr="00A14790" w:rsidRDefault="00CF3957" w:rsidP="001E71E3">
            <w:pPr>
              <w:keepNext/>
              <w:jc w:val="right"/>
              <w:rPr>
                <w:b/>
                <w:sz w:val="20"/>
                <w:szCs w:val="20"/>
              </w:rPr>
            </w:pPr>
            <w:r w:rsidRPr="00A14790">
              <w:rPr>
                <w:b/>
                <w:sz w:val="20"/>
                <w:szCs w:val="20"/>
              </w:rPr>
              <w:t>46.911.810,33</w:t>
            </w:r>
          </w:p>
        </w:tc>
      </w:tr>
    </w:tbl>
    <w:p w14:paraId="75523006" w14:textId="77777777" w:rsidR="00CF3957" w:rsidRPr="00C02F15" w:rsidRDefault="00CF3957" w:rsidP="00CF3957">
      <w:pPr>
        <w:keepNext/>
        <w:jc w:val="both"/>
        <w:rPr>
          <w:sz w:val="28"/>
          <w:szCs w:val="28"/>
        </w:rPr>
      </w:pPr>
    </w:p>
    <w:p w14:paraId="6D094C30" w14:textId="77777777" w:rsidR="00CF3957" w:rsidRPr="00C02F15" w:rsidRDefault="00CF3957" w:rsidP="00CF3957">
      <w:pPr>
        <w:keepNext/>
        <w:jc w:val="center"/>
        <w:rPr>
          <w:sz w:val="28"/>
          <w:szCs w:val="28"/>
        </w:rPr>
      </w:pPr>
      <w:r w:rsidRPr="00C02F15">
        <w:rPr>
          <w:sz w:val="28"/>
          <w:szCs w:val="28"/>
        </w:rPr>
        <w:t>Bilješka</w:t>
      </w:r>
      <w:r>
        <w:rPr>
          <w:sz w:val="28"/>
          <w:szCs w:val="28"/>
        </w:rPr>
        <w:t xml:space="preserve"> 17.</w:t>
      </w:r>
    </w:p>
    <w:p w14:paraId="18BCD0F0" w14:textId="77777777" w:rsidR="00CF3957" w:rsidRDefault="00CF3957" w:rsidP="00CF3957">
      <w:pPr>
        <w:keepNext/>
        <w:jc w:val="center"/>
        <w:rPr>
          <w:sz w:val="28"/>
          <w:szCs w:val="28"/>
        </w:rPr>
      </w:pPr>
      <w:r>
        <w:rPr>
          <w:sz w:val="28"/>
          <w:szCs w:val="28"/>
        </w:rPr>
        <w:t>Šifra 166 Potraživanja za prihode od prodaje proizvoda i robe te pruženih usluga i za povrat po protestiranim jamstvima</w:t>
      </w:r>
    </w:p>
    <w:p w14:paraId="1EA858A3" w14:textId="77777777" w:rsidR="00CF3957" w:rsidRDefault="00CF3957" w:rsidP="00CF3957">
      <w:pPr>
        <w:keepNext/>
        <w:jc w:val="both"/>
      </w:pPr>
    </w:p>
    <w:p w14:paraId="3B5D29B3" w14:textId="77777777" w:rsidR="00CF3957" w:rsidRDefault="00CF3957" w:rsidP="00CF3957">
      <w:pPr>
        <w:keepNext/>
        <w:jc w:val="both"/>
      </w:pPr>
      <w:r w:rsidRPr="002A6A6C">
        <w:t>Potraživanja za prihode od prodaje proizvoda i robe te pruženih usluga i z</w:t>
      </w:r>
      <w:r>
        <w:t xml:space="preserve">a povrat po </w:t>
      </w:r>
      <w:r w:rsidRPr="002A6A6C">
        <w:t>protestiranim jamstvima</w:t>
      </w:r>
      <w:r>
        <w:t xml:space="preserve"> na </w:t>
      </w:r>
      <w:r w:rsidRPr="00D42A73">
        <w:t>dan 31. prosinca 202</w:t>
      </w:r>
      <w:r>
        <w:t xml:space="preserve">2. godine iznose 4.990.763.356,51 kunu i veća su za 23% u odnosu na početno stanje 2022. godine. </w:t>
      </w:r>
    </w:p>
    <w:p w14:paraId="0015929F" w14:textId="77777777" w:rsidR="00CF3957" w:rsidRDefault="00CF3957" w:rsidP="00CF3957">
      <w:pPr>
        <w:keepNext/>
        <w:jc w:val="both"/>
      </w:pPr>
    </w:p>
    <w:p w14:paraId="56A68207" w14:textId="77777777" w:rsidR="00CF3957" w:rsidRDefault="00CF3957" w:rsidP="00CF3957">
      <w:pPr>
        <w:keepNext/>
        <w:jc w:val="both"/>
      </w:pPr>
      <w:r>
        <w:t>Najznačajniji dio odnosi se na potraživanja tuzemnim trgovačkim društvima izvan javnog sektora za povrate po protestiranim jamstvima kako je prikazano u Tablici 6.</w:t>
      </w:r>
    </w:p>
    <w:p w14:paraId="4CD71D16" w14:textId="77777777" w:rsidR="00CF3957" w:rsidRDefault="00CF3957" w:rsidP="00CF3957">
      <w:pPr>
        <w:keepNext/>
        <w:jc w:val="both"/>
      </w:pPr>
    </w:p>
    <w:p w14:paraId="7383B499" w14:textId="77777777" w:rsidR="00CF3957" w:rsidRPr="00A6347F" w:rsidRDefault="00CF3957" w:rsidP="00CF3957">
      <w:pPr>
        <w:keepNext/>
        <w:jc w:val="both"/>
        <w:rPr>
          <w:b/>
          <w:sz w:val="20"/>
          <w:szCs w:val="20"/>
        </w:rPr>
      </w:pPr>
      <w:r w:rsidRPr="00A6347F">
        <w:rPr>
          <w:b/>
          <w:sz w:val="20"/>
          <w:szCs w:val="20"/>
        </w:rPr>
        <w:t>Tablica 6.</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786"/>
        <w:gridCol w:w="2816"/>
      </w:tblGrid>
      <w:tr w:rsidR="00CF3957" w:rsidRPr="00A14790" w14:paraId="13F4EEE6" w14:textId="77777777" w:rsidTr="001E71E3">
        <w:trPr>
          <w:trHeight w:val="510"/>
          <w:jc w:val="center"/>
        </w:trPr>
        <w:tc>
          <w:tcPr>
            <w:tcW w:w="978" w:type="dxa"/>
            <w:shd w:val="clear" w:color="auto" w:fill="auto"/>
            <w:vAlign w:val="center"/>
            <w:hideMark/>
          </w:tcPr>
          <w:p w14:paraId="1EB44918" w14:textId="77777777" w:rsidR="00CF3957" w:rsidRPr="00A14790" w:rsidRDefault="00CF3957" w:rsidP="001E71E3">
            <w:pPr>
              <w:keepNext/>
              <w:jc w:val="center"/>
              <w:rPr>
                <w:b/>
                <w:bCs/>
                <w:sz w:val="18"/>
                <w:szCs w:val="20"/>
              </w:rPr>
            </w:pPr>
            <w:r w:rsidRPr="00A14790">
              <w:rPr>
                <w:b/>
                <w:bCs/>
                <w:sz w:val="18"/>
                <w:szCs w:val="20"/>
              </w:rPr>
              <w:t>Red. broj</w:t>
            </w:r>
          </w:p>
        </w:tc>
        <w:tc>
          <w:tcPr>
            <w:tcW w:w="4786" w:type="dxa"/>
            <w:shd w:val="clear" w:color="auto" w:fill="auto"/>
            <w:noWrap/>
            <w:vAlign w:val="center"/>
            <w:hideMark/>
          </w:tcPr>
          <w:p w14:paraId="0564ECC6" w14:textId="77777777" w:rsidR="00CF3957" w:rsidRPr="00A14790" w:rsidRDefault="00CF3957" w:rsidP="001E71E3">
            <w:pPr>
              <w:keepNext/>
              <w:jc w:val="center"/>
              <w:rPr>
                <w:b/>
                <w:bCs/>
                <w:sz w:val="18"/>
                <w:szCs w:val="20"/>
              </w:rPr>
            </w:pPr>
            <w:r w:rsidRPr="00A14790">
              <w:rPr>
                <w:b/>
                <w:bCs/>
                <w:sz w:val="18"/>
                <w:szCs w:val="20"/>
              </w:rPr>
              <w:t>Dužnik</w:t>
            </w:r>
          </w:p>
        </w:tc>
        <w:tc>
          <w:tcPr>
            <w:tcW w:w="2816" w:type="dxa"/>
            <w:shd w:val="clear" w:color="auto" w:fill="auto"/>
            <w:vAlign w:val="center"/>
            <w:hideMark/>
          </w:tcPr>
          <w:p w14:paraId="0BDC0D3F" w14:textId="77777777" w:rsidR="00CF3957" w:rsidRPr="00A14790" w:rsidRDefault="00CF3957" w:rsidP="001E71E3">
            <w:pPr>
              <w:keepNext/>
              <w:jc w:val="center"/>
              <w:rPr>
                <w:b/>
                <w:bCs/>
                <w:sz w:val="18"/>
                <w:szCs w:val="20"/>
              </w:rPr>
            </w:pPr>
            <w:r w:rsidRPr="00A14790">
              <w:rPr>
                <w:b/>
                <w:bCs/>
                <w:sz w:val="18"/>
                <w:szCs w:val="20"/>
              </w:rPr>
              <w:t>Stanje ukupnih potraživanja na 31.12.2022.</w:t>
            </w:r>
          </w:p>
        </w:tc>
      </w:tr>
      <w:tr w:rsidR="00CF3957" w:rsidRPr="00A14790" w14:paraId="11724EF9" w14:textId="77777777" w:rsidTr="001E71E3">
        <w:trPr>
          <w:trHeight w:val="278"/>
          <w:jc w:val="center"/>
        </w:trPr>
        <w:tc>
          <w:tcPr>
            <w:tcW w:w="978" w:type="dxa"/>
            <w:shd w:val="clear" w:color="auto" w:fill="auto"/>
            <w:noWrap/>
            <w:vAlign w:val="center"/>
            <w:hideMark/>
          </w:tcPr>
          <w:p w14:paraId="367DAC32" w14:textId="77777777" w:rsidR="00CF3957" w:rsidRPr="00A14790" w:rsidRDefault="00CF3957" w:rsidP="001E71E3">
            <w:pPr>
              <w:keepNext/>
              <w:jc w:val="center"/>
              <w:rPr>
                <w:sz w:val="20"/>
                <w:szCs w:val="20"/>
              </w:rPr>
            </w:pPr>
            <w:r w:rsidRPr="00A14790">
              <w:rPr>
                <w:sz w:val="20"/>
                <w:szCs w:val="20"/>
              </w:rPr>
              <w:t>1.</w:t>
            </w:r>
          </w:p>
        </w:tc>
        <w:tc>
          <w:tcPr>
            <w:tcW w:w="4786" w:type="dxa"/>
            <w:shd w:val="clear" w:color="auto" w:fill="auto"/>
            <w:noWrap/>
            <w:vAlign w:val="center"/>
            <w:hideMark/>
          </w:tcPr>
          <w:p w14:paraId="0E43CE50" w14:textId="77777777" w:rsidR="00CF3957" w:rsidRPr="00A14790" w:rsidRDefault="00CF3957" w:rsidP="001E71E3">
            <w:pPr>
              <w:keepNext/>
              <w:rPr>
                <w:sz w:val="20"/>
                <w:szCs w:val="20"/>
              </w:rPr>
            </w:pPr>
            <w:r w:rsidRPr="00A14790">
              <w:rPr>
                <w:sz w:val="20"/>
                <w:szCs w:val="20"/>
              </w:rPr>
              <w:t>DRNIŠPLAST</w:t>
            </w:r>
          </w:p>
        </w:tc>
        <w:tc>
          <w:tcPr>
            <w:tcW w:w="2816" w:type="dxa"/>
            <w:shd w:val="clear" w:color="auto" w:fill="auto"/>
            <w:noWrap/>
            <w:vAlign w:val="center"/>
            <w:hideMark/>
          </w:tcPr>
          <w:p w14:paraId="5A4E85DD" w14:textId="77777777" w:rsidR="00CF3957" w:rsidRPr="00A14790" w:rsidRDefault="00CF3957" w:rsidP="001E71E3">
            <w:pPr>
              <w:keepNext/>
              <w:jc w:val="right"/>
              <w:rPr>
                <w:sz w:val="20"/>
                <w:szCs w:val="20"/>
              </w:rPr>
            </w:pPr>
            <w:r w:rsidRPr="00A14790">
              <w:rPr>
                <w:sz w:val="20"/>
                <w:szCs w:val="20"/>
              </w:rPr>
              <w:t>18.535.086,79</w:t>
            </w:r>
          </w:p>
        </w:tc>
      </w:tr>
      <w:tr w:rsidR="00CF3957" w:rsidRPr="00A14790" w14:paraId="130F809C" w14:textId="77777777" w:rsidTr="001E71E3">
        <w:trPr>
          <w:trHeight w:val="278"/>
          <w:jc w:val="center"/>
        </w:trPr>
        <w:tc>
          <w:tcPr>
            <w:tcW w:w="978" w:type="dxa"/>
            <w:shd w:val="clear" w:color="auto" w:fill="auto"/>
            <w:noWrap/>
            <w:vAlign w:val="center"/>
          </w:tcPr>
          <w:p w14:paraId="694C5835" w14:textId="77777777" w:rsidR="00CF3957" w:rsidRPr="00A14790" w:rsidRDefault="00CF3957" w:rsidP="001E71E3">
            <w:pPr>
              <w:keepNext/>
              <w:jc w:val="center"/>
              <w:rPr>
                <w:sz w:val="20"/>
                <w:szCs w:val="20"/>
              </w:rPr>
            </w:pPr>
            <w:r w:rsidRPr="00A14790">
              <w:rPr>
                <w:sz w:val="20"/>
                <w:szCs w:val="20"/>
              </w:rPr>
              <w:t>2.</w:t>
            </w:r>
          </w:p>
        </w:tc>
        <w:tc>
          <w:tcPr>
            <w:tcW w:w="4786" w:type="dxa"/>
            <w:shd w:val="clear" w:color="auto" w:fill="auto"/>
            <w:noWrap/>
            <w:vAlign w:val="center"/>
          </w:tcPr>
          <w:p w14:paraId="30E0DA79" w14:textId="77777777" w:rsidR="00CF3957" w:rsidRPr="00A14790" w:rsidRDefault="00CF3957" w:rsidP="001E71E3">
            <w:pPr>
              <w:keepNext/>
              <w:rPr>
                <w:sz w:val="20"/>
                <w:szCs w:val="20"/>
              </w:rPr>
            </w:pPr>
            <w:r w:rsidRPr="00A14790">
              <w:rPr>
                <w:sz w:val="20"/>
                <w:szCs w:val="20"/>
              </w:rPr>
              <w:t>3. MAJ BRODOGRADILIŠTE</w:t>
            </w:r>
          </w:p>
        </w:tc>
        <w:tc>
          <w:tcPr>
            <w:tcW w:w="2816" w:type="dxa"/>
            <w:shd w:val="clear" w:color="auto" w:fill="auto"/>
            <w:noWrap/>
            <w:vAlign w:val="center"/>
          </w:tcPr>
          <w:p w14:paraId="3D2A190B" w14:textId="77777777" w:rsidR="00CF3957" w:rsidRPr="00A14790" w:rsidRDefault="00CF3957" w:rsidP="001E71E3">
            <w:pPr>
              <w:keepNext/>
              <w:jc w:val="right"/>
              <w:rPr>
                <w:sz w:val="20"/>
                <w:szCs w:val="20"/>
              </w:rPr>
            </w:pPr>
            <w:r w:rsidRPr="00A14790">
              <w:rPr>
                <w:sz w:val="20"/>
                <w:szCs w:val="20"/>
              </w:rPr>
              <w:t xml:space="preserve">240.702.059,72             </w:t>
            </w:r>
          </w:p>
        </w:tc>
      </w:tr>
      <w:tr w:rsidR="00CF3957" w:rsidRPr="00A14790" w14:paraId="0D0BC5C9" w14:textId="77777777" w:rsidTr="001E71E3">
        <w:trPr>
          <w:trHeight w:val="278"/>
          <w:jc w:val="center"/>
        </w:trPr>
        <w:tc>
          <w:tcPr>
            <w:tcW w:w="978" w:type="dxa"/>
            <w:shd w:val="clear" w:color="auto" w:fill="auto"/>
            <w:noWrap/>
            <w:vAlign w:val="center"/>
          </w:tcPr>
          <w:p w14:paraId="54C58A55" w14:textId="77777777" w:rsidR="00CF3957" w:rsidRPr="00A14790" w:rsidRDefault="00CF3957" w:rsidP="001E71E3">
            <w:pPr>
              <w:keepNext/>
              <w:jc w:val="center"/>
              <w:rPr>
                <w:sz w:val="20"/>
                <w:szCs w:val="20"/>
              </w:rPr>
            </w:pPr>
            <w:r w:rsidRPr="00A14790">
              <w:rPr>
                <w:sz w:val="20"/>
                <w:szCs w:val="20"/>
              </w:rPr>
              <w:t>3.</w:t>
            </w:r>
          </w:p>
        </w:tc>
        <w:tc>
          <w:tcPr>
            <w:tcW w:w="4786" w:type="dxa"/>
            <w:shd w:val="clear" w:color="auto" w:fill="auto"/>
            <w:noWrap/>
            <w:vAlign w:val="center"/>
          </w:tcPr>
          <w:p w14:paraId="3958B86B" w14:textId="77777777" w:rsidR="00CF3957" w:rsidRPr="00A14790" w:rsidRDefault="00CF3957" w:rsidP="001E71E3">
            <w:pPr>
              <w:keepNext/>
              <w:rPr>
                <w:sz w:val="20"/>
                <w:szCs w:val="20"/>
              </w:rPr>
            </w:pPr>
            <w:r w:rsidRPr="00A14790">
              <w:rPr>
                <w:sz w:val="20"/>
                <w:szCs w:val="20"/>
              </w:rPr>
              <w:t>LJEČILIŠTE TOPUSKO</w:t>
            </w:r>
          </w:p>
        </w:tc>
        <w:tc>
          <w:tcPr>
            <w:tcW w:w="2816" w:type="dxa"/>
            <w:shd w:val="clear" w:color="auto" w:fill="auto"/>
            <w:noWrap/>
            <w:vAlign w:val="center"/>
          </w:tcPr>
          <w:p w14:paraId="1BA7BD09" w14:textId="77777777" w:rsidR="00CF3957" w:rsidRPr="00A14790" w:rsidRDefault="00CF3957" w:rsidP="001E71E3">
            <w:pPr>
              <w:keepNext/>
              <w:jc w:val="right"/>
              <w:rPr>
                <w:sz w:val="20"/>
                <w:szCs w:val="20"/>
              </w:rPr>
            </w:pPr>
            <w:r w:rsidRPr="00A14790">
              <w:rPr>
                <w:sz w:val="20"/>
                <w:szCs w:val="20"/>
              </w:rPr>
              <w:t>35.064.378,73</w:t>
            </w:r>
          </w:p>
        </w:tc>
      </w:tr>
      <w:tr w:rsidR="00CF3957" w:rsidRPr="00A14790" w14:paraId="06D7919A" w14:textId="77777777" w:rsidTr="001E71E3">
        <w:trPr>
          <w:trHeight w:val="278"/>
          <w:jc w:val="center"/>
        </w:trPr>
        <w:tc>
          <w:tcPr>
            <w:tcW w:w="978" w:type="dxa"/>
            <w:shd w:val="clear" w:color="auto" w:fill="auto"/>
            <w:noWrap/>
            <w:vAlign w:val="center"/>
          </w:tcPr>
          <w:p w14:paraId="17AF5663" w14:textId="77777777" w:rsidR="00CF3957" w:rsidRPr="00A14790" w:rsidRDefault="00CF3957" w:rsidP="001E71E3">
            <w:pPr>
              <w:keepNext/>
              <w:jc w:val="center"/>
              <w:rPr>
                <w:sz w:val="20"/>
                <w:szCs w:val="20"/>
              </w:rPr>
            </w:pPr>
            <w:r w:rsidRPr="00A14790">
              <w:rPr>
                <w:sz w:val="20"/>
                <w:szCs w:val="20"/>
              </w:rPr>
              <w:t>4.</w:t>
            </w:r>
          </w:p>
        </w:tc>
        <w:tc>
          <w:tcPr>
            <w:tcW w:w="4786" w:type="dxa"/>
            <w:shd w:val="clear" w:color="auto" w:fill="auto"/>
            <w:noWrap/>
            <w:vAlign w:val="center"/>
          </w:tcPr>
          <w:p w14:paraId="3C91C771" w14:textId="77777777" w:rsidR="00CF3957" w:rsidRPr="00A14790" w:rsidRDefault="00CF3957" w:rsidP="001E71E3">
            <w:pPr>
              <w:keepNext/>
              <w:rPr>
                <w:sz w:val="20"/>
                <w:szCs w:val="20"/>
              </w:rPr>
            </w:pPr>
            <w:r w:rsidRPr="00A14790">
              <w:rPr>
                <w:sz w:val="20"/>
                <w:szCs w:val="20"/>
              </w:rPr>
              <w:t>HUM</w:t>
            </w:r>
          </w:p>
        </w:tc>
        <w:tc>
          <w:tcPr>
            <w:tcW w:w="2816" w:type="dxa"/>
            <w:shd w:val="clear" w:color="auto" w:fill="auto"/>
            <w:noWrap/>
            <w:vAlign w:val="center"/>
          </w:tcPr>
          <w:p w14:paraId="3F9D0BB9" w14:textId="77777777" w:rsidR="00CF3957" w:rsidRPr="00A14790" w:rsidRDefault="00CF3957" w:rsidP="001E71E3">
            <w:pPr>
              <w:keepNext/>
              <w:jc w:val="right"/>
              <w:rPr>
                <w:sz w:val="20"/>
                <w:szCs w:val="20"/>
              </w:rPr>
            </w:pPr>
            <w:r w:rsidRPr="00A14790">
              <w:rPr>
                <w:sz w:val="20"/>
                <w:szCs w:val="20"/>
              </w:rPr>
              <w:t>22.871.287,48</w:t>
            </w:r>
          </w:p>
        </w:tc>
      </w:tr>
      <w:tr w:rsidR="00CF3957" w:rsidRPr="00A14790" w14:paraId="31D0526F" w14:textId="77777777" w:rsidTr="001E71E3">
        <w:trPr>
          <w:trHeight w:val="278"/>
          <w:jc w:val="center"/>
        </w:trPr>
        <w:tc>
          <w:tcPr>
            <w:tcW w:w="978" w:type="dxa"/>
            <w:shd w:val="clear" w:color="auto" w:fill="auto"/>
            <w:noWrap/>
            <w:vAlign w:val="center"/>
          </w:tcPr>
          <w:p w14:paraId="16F968CF" w14:textId="77777777" w:rsidR="00CF3957" w:rsidRPr="00A14790" w:rsidRDefault="00CF3957" w:rsidP="001E71E3">
            <w:pPr>
              <w:keepNext/>
              <w:jc w:val="center"/>
              <w:rPr>
                <w:sz w:val="20"/>
                <w:szCs w:val="20"/>
              </w:rPr>
            </w:pPr>
            <w:r w:rsidRPr="00A14790">
              <w:rPr>
                <w:sz w:val="20"/>
                <w:szCs w:val="20"/>
              </w:rPr>
              <w:t>5.</w:t>
            </w:r>
          </w:p>
        </w:tc>
        <w:tc>
          <w:tcPr>
            <w:tcW w:w="4786" w:type="dxa"/>
            <w:shd w:val="clear" w:color="auto" w:fill="auto"/>
            <w:noWrap/>
            <w:vAlign w:val="center"/>
          </w:tcPr>
          <w:p w14:paraId="793698F3" w14:textId="77777777" w:rsidR="00CF3957" w:rsidRPr="00A14790" w:rsidRDefault="00CF3957" w:rsidP="001E71E3">
            <w:pPr>
              <w:keepNext/>
              <w:rPr>
                <w:sz w:val="20"/>
                <w:szCs w:val="20"/>
              </w:rPr>
            </w:pPr>
            <w:r w:rsidRPr="00A14790">
              <w:rPr>
                <w:sz w:val="20"/>
                <w:szCs w:val="20"/>
              </w:rPr>
              <w:t>OLMA MAKARSKA</w:t>
            </w:r>
          </w:p>
        </w:tc>
        <w:tc>
          <w:tcPr>
            <w:tcW w:w="2816" w:type="dxa"/>
            <w:shd w:val="clear" w:color="auto" w:fill="auto"/>
            <w:noWrap/>
            <w:vAlign w:val="center"/>
          </w:tcPr>
          <w:p w14:paraId="3E96949E" w14:textId="77777777" w:rsidR="00CF3957" w:rsidRPr="00A14790" w:rsidRDefault="00CF3957" w:rsidP="001E71E3">
            <w:pPr>
              <w:keepNext/>
              <w:jc w:val="right"/>
              <w:rPr>
                <w:sz w:val="20"/>
                <w:szCs w:val="20"/>
              </w:rPr>
            </w:pPr>
            <w:r w:rsidRPr="00A14790">
              <w:rPr>
                <w:sz w:val="20"/>
                <w:szCs w:val="20"/>
              </w:rPr>
              <w:t>5.925.836,44</w:t>
            </w:r>
          </w:p>
        </w:tc>
      </w:tr>
      <w:tr w:rsidR="00CF3957" w:rsidRPr="00A14790" w14:paraId="541809EC" w14:textId="77777777" w:rsidTr="001E71E3">
        <w:trPr>
          <w:trHeight w:val="278"/>
          <w:jc w:val="center"/>
        </w:trPr>
        <w:tc>
          <w:tcPr>
            <w:tcW w:w="978" w:type="dxa"/>
            <w:shd w:val="clear" w:color="auto" w:fill="auto"/>
            <w:noWrap/>
            <w:vAlign w:val="center"/>
          </w:tcPr>
          <w:p w14:paraId="1FF7286B" w14:textId="77777777" w:rsidR="00CF3957" w:rsidRPr="00A14790" w:rsidRDefault="00CF3957" w:rsidP="001E71E3">
            <w:pPr>
              <w:keepNext/>
              <w:jc w:val="center"/>
              <w:rPr>
                <w:sz w:val="20"/>
                <w:szCs w:val="20"/>
              </w:rPr>
            </w:pPr>
            <w:r w:rsidRPr="00A14790">
              <w:rPr>
                <w:sz w:val="20"/>
                <w:szCs w:val="20"/>
              </w:rPr>
              <w:t>6.</w:t>
            </w:r>
          </w:p>
        </w:tc>
        <w:tc>
          <w:tcPr>
            <w:tcW w:w="4786" w:type="dxa"/>
            <w:shd w:val="clear" w:color="auto" w:fill="auto"/>
            <w:noWrap/>
            <w:vAlign w:val="center"/>
          </w:tcPr>
          <w:p w14:paraId="67D65E45" w14:textId="77777777" w:rsidR="00CF3957" w:rsidRPr="00A14790" w:rsidRDefault="00CF3957" w:rsidP="001E71E3">
            <w:pPr>
              <w:keepNext/>
              <w:rPr>
                <w:sz w:val="20"/>
                <w:szCs w:val="20"/>
              </w:rPr>
            </w:pPr>
            <w:r w:rsidRPr="00A14790">
              <w:rPr>
                <w:sz w:val="20"/>
                <w:szCs w:val="20"/>
              </w:rPr>
              <w:t>ULJANIK BRODOGRADILIŠTE</w:t>
            </w:r>
          </w:p>
        </w:tc>
        <w:tc>
          <w:tcPr>
            <w:tcW w:w="2816" w:type="dxa"/>
            <w:shd w:val="clear" w:color="auto" w:fill="auto"/>
            <w:noWrap/>
            <w:vAlign w:val="center"/>
          </w:tcPr>
          <w:p w14:paraId="25EB6F42" w14:textId="77777777" w:rsidR="00CF3957" w:rsidRPr="00A14790" w:rsidRDefault="00CF3957" w:rsidP="001E71E3">
            <w:pPr>
              <w:keepNext/>
              <w:jc w:val="right"/>
              <w:rPr>
                <w:sz w:val="20"/>
                <w:szCs w:val="20"/>
              </w:rPr>
            </w:pPr>
            <w:r w:rsidRPr="00A14790">
              <w:rPr>
                <w:sz w:val="20"/>
                <w:szCs w:val="20"/>
              </w:rPr>
              <w:t>1.029.044.359,09</w:t>
            </w:r>
          </w:p>
        </w:tc>
      </w:tr>
      <w:tr w:rsidR="00CF3957" w:rsidRPr="00A14790" w14:paraId="2F90BA61" w14:textId="77777777" w:rsidTr="001E71E3">
        <w:trPr>
          <w:trHeight w:val="278"/>
          <w:jc w:val="center"/>
        </w:trPr>
        <w:tc>
          <w:tcPr>
            <w:tcW w:w="978" w:type="dxa"/>
            <w:shd w:val="clear" w:color="auto" w:fill="auto"/>
            <w:noWrap/>
            <w:vAlign w:val="center"/>
          </w:tcPr>
          <w:p w14:paraId="39417F7F" w14:textId="77777777" w:rsidR="00CF3957" w:rsidRPr="00A14790" w:rsidRDefault="00CF3957" w:rsidP="001E71E3">
            <w:pPr>
              <w:keepNext/>
              <w:jc w:val="center"/>
              <w:rPr>
                <w:sz w:val="20"/>
                <w:szCs w:val="20"/>
              </w:rPr>
            </w:pPr>
            <w:r w:rsidRPr="00A14790">
              <w:rPr>
                <w:sz w:val="20"/>
                <w:szCs w:val="20"/>
              </w:rPr>
              <w:t>7.</w:t>
            </w:r>
          </w:p>
        </w:tc>
        <w:tc>
          <w:tcPr>
            <w:tcW w:w="4786" w:type="dxa"/>
            <w:shd w:val="clear" w:color="auto" w:fill="auto"/>
            <w:noWrap/>
            <w:vAlign w:val="center"/>
          </w:tcPr>
          <w:p w14:paraId="20C50008" w14:textId="77777777" w:rsidR="00CF3957" w:rsidRPr="00A14790" w:rsidRDefault="00CF3957" w:rsidP="001E71E3">
            <w:pPr>
              <w:keepNext/>
              <w:rPr>
                <w:sz w:val="20"/>
                <w:szCs w:val="20"/>
              </w:rPr>
            </w:pPr>
            <w:r w:rsidRPr="00A14790">
              <w:rPr>
                <w:sz w:val="20"/>
                <w:szCs w:val="20"/>
              </w:rPr>
              <w:t>ULJANIK D.D.</w:t>
            </w:r>
          </w:p>
        </w:tc>
        <w:tc>
          <w:tcPr>
            <w:tcW w:w="2816" w:type="dxa"/>
            <w:shd w:val="clear" w:color="auto" w:fill="auto"/>
            <w:noWrap/>
            <w:vAlign w:val="center"/>
          </w:tcPr>
          <w:p w14:paraId="409F0507" w14:textId="77777777" w:rsidR="00CF3957" w:rsidRPr="00A14790" w:rsidRDefault="00CF3957" w:rsidP="001E71E3">
            <w:pPr>
              <w:keepNext/>
              <w:jc w:val="right"/>
              <w:rPr>
                <w:sz w:val="20"/>
                <w:szCs w:val="20"/>
              </w:rPr>
            </w:pPr>
            <w:r w:rsidRPr="00A14790">
              <w:rPr>
                <w:sz w:val="20"/>
                <w:szCs w:val="20"/>
              </w:rPr>
              <w:t>2.466.402.675,19</w:t>
            </w:r>
          </w:p>
        </w:tc>
      </w:tr>
      <w:tr w:rsidR="00CF3957" w:rsidRPr="00A14790" w14:paraId="05A41A78" w14:textId="77777777" w:rsidTr="001E71E3">
        <w:trPr>
          <w:trHeight w:val="278"/>
          <w:jc w:val="center"/>
        </w:trPr>
        <w:tc>
          <w:tcPr>
            <w:tcW w:w="978" w:type="dxa"/>
            <w:shd w:val="clear" w:color="auto" w:fill="auto"/>
            <w:noWrap/>
            <w:vAlign w:val="center"/>
          </w:tcPr>
          <w:p w14:paraId="5E4AF719" w14:textId="77777777" w:rsidR="00CF3957" w:rsidRPr="00A14790" w:rsidRDefault="00CF3957" w:rsidP="001E71E3">
            <w:pPr>
              <w:keepNext/>
              <w:jc w:val="center"/>
              <w:rPr>
                <w:sz w:val="20"/>
                <w:szCs w:val="20"/>
              </w:rPr>
            </w:pPr>
            <w:r w:rsidRPr="00A14790">
              <w:rPr>
                <w:sz w:val="20"/>
                <w:szCs w:val="20"/>
              </w:rPr>
              <w:t>8.</w:t>
            </w:r>
          </w:p>
        </w:tc>
        <w:tc>
          <w:tcPr>
            <w:tcW w:w="4786" w:type="dxa"/>
            <w:shd w:val="clear" w:color="auto" w:fill="auto"/>
            <w:noWrap/>
            <w:vAlign w:val="center"/>
          </w:tcPr>
          <w:p w14:paraId="7CF66E71" w14:textId="77777777" w:rsidR="00CF3957" w:rsidRPr="00A14790" w:rsidRDefault="00CF3957" w:rsidP="001E71E3">
            <w:pPr>
              <w:keepNext/>
              <w:rPr>
                <w:sz w:val="20"/>
                <w:szCs w:val="20"/>
              </w:rPr>
            </w:pPr>
            <w:r w:rsidRPr="00A14790">
              <w:rPr>
                <w:sz w:val="20"/>
                <w:szCs w:val="20"/>
              </w:rPr>
              <w:t>HOTEL NOVI, NOVI VINODOLSKI</w:t>
            </w:r>
          </w:p>
        </w:tc>
        <w:tc>
          <w:tcPr>
            <w:tcW w:w="2816" w:type="dxa"/>
            <w:shd w:val="clear" w:color="auto" w:fill="auto"/>
            <w:noWrap/>
            <w:vAlign w:val="center"/>
          </w:tcPr>
          <w:p w14:paraId="14F7E8A1" w14:textId="77777777" w:rsidR="00CF3957" w:rsidRPr="00A14790" w:rsidRDefault="00CF3957" w:rsidP="001E71E3">
            <w:pPr>
              <w:keepNext/>
              <w:jc w:val="right"/>
              <w:rPr>
                <w:sz w:val="20"/>
                <w:szCs w:val="20"/>
              </w:rPr>
            </w:pPr>
            <w:r w:rsidRPr="00A14790">
              <w:rPr>
                <w:sz w:val="20"/>
                <w:szCs w:val="20"/>
              </w:rPr>
              <w:t>1.674.596,31</w:t>
            </w:r>
          </w:p>
        </w:tc>
      </w:tr>
      <w:tr w:rsidR="00CF3957" w:rsidRPr="00A14790" w14:paraId="605EB0F8" w14:textId="77777777" w:rsidTr="001E71E3">
        <w:trPr>
          <w:trHeight w:val="278"/>
          <w:jc w:val="center"/>
        </w:trPr>
        <w:tc>
          <w:tcPr>
            <w:tcW w:w="978" w:type="dxa"/>
            <w:shd w:val="clear" w:color="auto" w:fill="auto"/>
            <w:noWrap/>
            <w:vAlign w:val="center"/>
          </w:tcPr>
          <w:p w14:paraId="039826FE" w14:textId="77777777" w:rsidR="00CF3957" w:rsidRPr="00A14790" w:rsidRDefault="00CF3957" w:rsidP="001E71E3">
            <w:pPr>
              <w:keepNext/>
              <w:jc w:val="center"/>
              <w:rPr>
                <w:sz w:val="20"/>
                <w:szCs w:val="20"/>
              </w:rPr>
            </w:pPr>
            <w:r w:rsidRPr="00A14790">
              <w:rPr>
                <w:sz w:val="20"/>
                <w:szCs w:val="20"/>
              </w:rPr>
              <w:t>9.</w:t>
            </w:r>
          </w:p>
        </w:tc>
        <w:tc>
          <w:tcPr>
            <w:tcW w:w="4786" w:type="dxa"/>
            <w:shd w:val="clear" w:color="auto" w:fill="auto"/>
            <w:noWrap/>
            <w:vAlign w:val="center"/>
          </w:tcPr>
          <w:p w14:paraId="7F1C96FE" w14:textId="77777777" w:rsidR="00CF3957" w:rsidRPr="00A14790" w:rsidRDefault="00CF3957" w:rsidP="001E71E3">
            <w:pPr>
              <w:keepNext/>
              <w:rPr>
                <w:sz w:val="20"/>
                <w:szCs w:val="20"/>
              </w:rPr>
            </w:pPr>
            <w:r w:rsidRPr="00A14790">
              <w:rPr>
                <w:sz w:val="20"/>
                <w:szCs w:val="20"/>
              </w:rPr>
              <w:t>HOTELI OMIŠALJ</w:t>
            </w:r>
          </w:p>
        </w:tc>
        <w:tc>
          <w:tcPr>
            <w:tcW w:w="2816" w:type="dxa"/>
            <w:shd w:val="clear" w:color="auto" w:fill="auto"/>
            <w:noWrap/>
            <w:vAlign w:val="center"/>
          </w:tcPr>
          <w:p w14:paraId="06D97B5F" w14:textId="77777777" w:rsidR="00CF3957" w:rsidRPr="00A14790" w:rsidRDefault="00CF3957" w:rsidP="001E71E3">
            <w:pPr>
              <w:keepNext/>
              <w:jc w:val="right"/>
              <w:rPr>
                <w:sz w:val="20"/>
                <w:szCs w:val="20"/>
              </w:rPr>
            </w:pPr>
            <w:r w:rsidRPr="00A14790">
              <w:rPr>
                <w:sz w:val="20"/>
                <w:szCs w:val="20"/>
              </w:rPr>
              <w:t>38.549.288,16</w:t>
            </w:r>
          </w:p>
        </w:tc>
      </w:tr>
      <w:tr w:rsidR="00CF3957" w:rsidRPr="00A14790" w14:paraId="2C75CECF" w14:textId="77777777" w:rsidTr="001E71E3">
        <w:trPr>
          <w:trHeight w:val="278"/>
          <w:jc w:val="center"/>
        </w:trPr>
        <w:tc>
          <w:tcPr>
            <w:tcW w:w="978" w:type="dxa"/>
            <w:shd w:val="clear" w:color="auto" w:fill="auto"/>
            <w:noWrap/>
            <w:vAlign w:val="center"/>
          </w:tcPr>
          <w:p w14:paraId="2BB8028C" w14:textId="77777777" w:rsidR="00CF3957" w:rsidRPr="00A14790" w:rsidRDefault="00CF3957" w:rsidP="001E71E3">
            <w:pPr>
              <w:keepNext/>
              <w:jc w:val="center"/>
              <w:rPr>
                <w:sz w:val="20"/>
                <w:szCs w:val="20"/>
              </w:rPr>
            </w:pPr>
            <w:r w:rsidRPr="00A14790">
              <w:rPr>
                <w:sz w:val="20"/>
                <w:szCs w:val="20"/>
              </w:rPr>
              <w:t>10.</w:t>
            </w:r>
          </w:p>
        </w:tc>
        <w:tc>
          <w:tcPr>
            <w:tcW w:w="4786" w:type="dxa"/>
            <w:shd w:val="clear" w:color="auto" w:fill="auto"/>
            <w:noWrap/>
            <w:vAlign w:val="center"/>
          </w:tcPr>
          <w:p w14:paraId="4D467047" w14:textId="77777777" w:rsidR="00CF3957" w:rsidRPr="00A14790" w:rsidRDefault="00CF3957" w:rsidP="001E71E3">
            <w:pPr>
              <w:keepNext/>
              <w:rPr>
                <w:sz w:val="20"/>
                <w:szCs w:val="20"/>
              </w:rPr>
            </w:pPr>
            <w:r w:rsidRPr="00A14790">
              <w:rPr>
                <w:sz w:val="20"/>
                <w:szCs w:val="20"/>
              </w:rPr>
              <w:t>HOTELI ŠOLTA</w:t>
            </w:r>
          </w:p>
        </w:tc>
        <w:tc>
          <w:tcPr>
            <w:tcW w:w="2816" w:type="dxa"/>
            <w:shd w:val="clear" w:color="auto" w:fill="auto"/>
            <w:noWrap/>
            <w:vAlign w:val="center"/>
          </w:tcPr>
          <w:p w14:paraId="224E2F35" w14:textId="77777777" w:rsidR="00CF3957" w:rsidRPr="00A14790" w:rsidRDefault="00CF3957" w:rsidP="001E71E3">
            <w:pPr>
              <w:keepNext/>
              <w:jc w:val="right"/>
              <w:rPr>
                <w:sz w:val="20"/>
                <w:szCs w:val="20"/>
              </w:rPr>
            </w:pPr>
            <w:r w:rsidRPr="00A14790">
              <w:rPr>
                <w:sz w:val="20"/>
                <w:szCs w:val="20"/>
              </w:rPr>
              <w:t>10.345.775,23</w:t>
            </w:r>
          </w:p>
        </w:tc>
      </w:tr>
      <w:tr w:rsidR="00CF3957" w:rsidRPr="00A14790" w14:paraId="1FBEA905" w14:textId="77777777" w:rsidTr="001E71E3">
        <w:trPr>
          <w:trHeight w:val="278"/>
          <w:jc w:val="center"/>
        </w:trPr>
        <w:tc>
          <w:tcPr>
            <w:tcW w:w="978" w:type="dxa"/>
            <w:shd w:val="clear" w:color="auto" w:fill="auto"/>
            <w:noWrap/>
            <w:vAlign w:val="center"/>
          </w:tcPr>
          <w:p w14:paraId="3E8BAAC6" w14:textId="77777777" w:rsidR="00CF3957" w:rsidRPr="00A14790" w:rsidRDefault="00CF3957" w:rsidP="001E71E3">
            <w:pPr>
              <w:keepNext/>
              <w:jc w:val="center"/>
              <w:rPr>
                <w:sz w:val="20"/>
                <w:szCs w:val="20"/>
              </w:rPr>
            </w:pPr>
            <w:r w:rsidRPr="00A14790">
              <w:rPr>
                <w:sz w:val="20"/>
                <w:szCs w:val="20"/>
              </w:rPr>
              <w:t>11.</w:t>
            </w:r>
          </w:p>
        </w:tc>
        <w:tc>
          <w:tcPr>
            <w:tcW w:w="4786" w:type="dxa"/>
            <w:shd w:val="clear" w:color="auto" w:fill="auto"/>
            <w:noWrap/>
            <w:vAlign w:val="center"/>
          </w:tcPr>
          <w:p w14:paraId="0F234407" w14:textId="77777777" w:rsidR="00CF3957" w:rsidRPr="00A14790" w:rsidRDefault="00CF3957" w:rsidP="001E71E3">
            <w:pPr>
              <w:keepNext/>
              <w:rPr>
                <w:sz w:val="20"/>
                <w:szCs w:val="20"/>
              </w:rPr>
            </w:pPr>
            <w:r w:rsidRPr="00A14790">
              <w:rPr>
                <w:sz w:val="20"/>
                <w:szCs w:val="20"/>
              </w:rPr>
              <w:t>PRESIDENT ZADAR</w:t>
            </w:r>
          </w:p>
        </w:tc>
        <w:tc>
          <w:tcPr>
            <w:tcW w:w="2816" w:type="dxa"/>
            <w:shd w:val="clear" w:color="auto" w:fill="auto"/>
            <w:noWrap/>
            <w:vAlign w:val="center"/>
          </w:tcPr>
          <w:p w14:paraId="56F568B4" w14:textId="77777777" w:rsidR="00CF3957" w:rsidRPr="00A14790" w:rsidRDefault="00CF3957" w:rsidP="001E71E3">
            <w:pPr>
              <w:keepNext/>
              <w:jc w:val="right"/>
              <w:rPr>
                <w:sz w:val="20"/>
                <w:szCs w:val="20"/>
              </w:rPr>
            </w:pPr>
            <w:r w:rsidRPr="00A14790">
              <w:rPr>
                <w:sz w:val="20"/>
                <w:szCs w:val="20"/>
              </w:rPr>
              <w:t>6.964.073,62</w:t>
            </w:r>
          </w:p>
        </w:tc>
      </w:tr>
      <w:tr w:rsidR="00CF3957" w:rsidRPr="00A14790" w14:paraId="0BE372A3" w14:textId="77777777" w:rsidTr="001E71E3">
        <w:trPr>
          <w:trHeight w:val="278"/>
          <w:jc w:val="center"/>
        </w:trPr>
        <w:tc>
          <w:tcPr>
            <w:tcW w:w="978" w:type="dxa"/>
            <w:shd w:val="clear" w:color="auto" w:fill="auto"/>
            <w:noWrap/>
            <w:vAlign w:val="center"/>
          </w:tcPr>
          <w:p w14:paraId="7066E04F" w14:textId="77777777" w:rsidR="00CF3957" w:rsidRPr="00A14790" w:rsidRDefault="00CF3957" w:rsidP="001E71E3">
            <w:pPr>
              <w:keepNext/>
              <w:jc w:val="center"/>
              <w:rPr>
                <w:sz w:val="20"/>
                <w:szCs w:val="20"/>
              </w:rPr>
            </w:pPr>
            <w:r w:rsidRPr="00A14790">
              <w:rPr>
                <w:sz w:val="20"/>
                <w:szCs w:val="20"/>
              </w:rPr>
              <w:t>12.</w:t>
            </w:r>
          </w:p>
        </w:tc>
        <w:tc>
          <w:tcPr>
            <w:tcW w:w="4786" w:type="dxa"/>
            <w:shd w:val="clear" w:color="auto" w:fill="auto"/>
            <w:noWrap/>
            <w:vAlign w:val="center"/>
          </w:tcPr>
          <w:p w14:paraId="35B81915" w14:textId="77777777" w:rsidR="00CF3957" w:rsidRPr="00A14790" w:rsidRDefault="00CF3957" w:rsidP="001E71E3">
            <w:pPr>
              <w:keepNext/>
              <w:rPr>
                <w:sz w:val="20"/>
                <w:szCs w:val="20"/>
              </w:rPr>
            </w:pPr>
            <w:r w:rsidRPr="00A14790">
              <w:rPr>
                <w:sz w:val="20"/>
                <w:szCs w:val="20"/>
              </w:rPr>
              <w:t>DIOKI D.D. (CALISKAN)</w:t>
            </w:r>
          </w:p>
        </w:tc>
        <w:tc>
          <w:tcPr>
            <w:tcW w:w="2816" w:type="dxa"/>
            <w:shd w:val="clear" w:color="auto" w:fill="auto"/>
            <w:noWrap/>
            <w:vAlign w:val="center"/>
          </w:tcPr>
          <w:p w14:paraId="72A70122" w14:textId="77777777" w:rsidR="00CF3957" w:rsidRPr="00A14790" w:rsidRDefault="00CF3957" w:rsidP="001E71E3">
            <w:pPr>
              <w:keepNext/>
              <w:jc w:val="right"/>
              <w:rPr>
                <w:sz w:val="20"/>
                <w:szCs w:val="20"/>
              </w:rPr>
            </w:pPr>
            <w:r w:rsidRPr="00A14790">
              <w:rPr>
                <w:sz w:val="20"/>
                <w:szCs w:val="20"/>
              </w:rPr>
              <w:t>38.250.000,00</w:t>
            </w:r>
          </w:p>
        </w:tc>
      </w:tr>
      <w:tr w:rsidR="00CF3957" w:rsidRPr="00A14790" w14:paraId="1F929A3D" w14:textId="77777777" w:rsidTr="001E71E3">
        <w:trPr>
          <w:trHeight w:val="278"/>
          <w:jc w:val="center"/>
        </w:trPr>
        <w:tc>
          <w:tcPr>
            <w:tcW w:w="978" w:type="dxa"/>
            <w:shd w:val="clear" w:color="auto" w:fill="auto"/>
            <w:noWrap/>
            <w:vAlign w:val="center"/>
          </w:tcPr>
          <w:p w14:paraId="2FB17F4E" w14:textId="77777777" w:rsidR="00CF3957" w:rsidRPr="00A14790" w:rsidRDefault="00CF3957" w:rsidP="001E71E3">
            <w:pPr>
              <w:keepNext/>
              <w:jc w:val="center"/>
              <w:rPr>
                <w:sz w:val="20"/>
                <w:szCs w:val="20"/>
              </w:rPr>
            </w:pPr>
            <w:r>
              <w:rPr>
                <w:sz w:val="20"/>
                <w:szCs w:val="20"/>
              </w:rPr>
              <w:t>13</w:t>
            </w:r>
            <w:r w:rsidRPr="00A14790">
              <w:rPr>
                <w:sz w:val="20"/>
                <w:szCs w:val="20"/>
              </w:rPr>
              <w:t>.</w:t>
            </w:r>
          </w:p>
        </w:tc>
        <w:tc>
          <w:tcPr>
            <w:tcW w:w="4786" w:type="dxa"/>
            <w:shd w:val="clear" w:color="auto" w:fill="auto"/>
            <w:noWrap/>
            <w:vAlign w:val="center"/>
          </w:tcPr>
          <w:p w14:paraId="476D8DA1" w14:textId="77777777" w:rsidR="00CF3957" w:rsidRPr="00A14790" w:rsidRDefault="00CF3957" w:rsidP="001E71E3">
            <w:pPr>
              <w:keepNext/>
              <w:rPr>
                <w:sz w:val="20"/>
                <w:szCs w:val="20"/>
              </w:rPr>
            </w:pPr>
            <w:r w:rsidRPr="00A14790">
              <w:rPr>
                <w:sz w:val="20"/>
                <w:szCs w:val="20"/>
              </w:rPr>
              <w:t>BRODOGRAĐEVNA INDUSTRIJA SPLIT</w:t>
            </w:r>
          </w:p>
        </w:tc>
        <w:tc>
          <w:tcPr>
            <w:tcW w:w="2816" w:type="dxa"/>
            <w:shd w:val="clear" w:color="auto" w:fill="auto"/>
            <w:noWrap/>
            <w:vAlign w:val="center"/>
          </w:tcPr>
          <w:p w14:paraId="50DF3F77" w14:textId="77777777" w:rsidR="00CF3957" w:rsidRPr="00A14790" w:rsidRDefault="00CF3957" w:rsidP="001E71E3">
            <w:pPr>
              <w:keepNext/>
              <w:jc w:val="right"/>
              <w:rPr>
                <w:sz w:val="20"/>
                <w:szCs w:val="20"/>
              </w:rPr>
            </w:pPr>
            <w:r w:rsidRPr="00A14790">
              <w:rPr>
                <w:sz w:val="20"/>
                <w:szCs w:val="20"/>
              </w:rPr>
              <w:t>242.997.557,40</w:t>
            </w:r>
          </w:p>
        </w:tc>
      </w:tr>
      <w:tr w:rsidR="00CF3957" w:rsidRPr="00A14790" w14:paraId="2D7E809D" w14:textId="77777777" w:rsidTr="001E71E3">
        <w:trPr>
          <w:trHeight w:val="278"/>
          <w:jc w:val="center"/>
        </w:trPr>
        <w:tc>
          <w:tcPr>
            <w:tcW w:w="978" w:type="dxa"/>
            <w:shd w:val="clear" w:color="auto" w:fill="auto"/>
            <w:noWrap/>
            <w:vAlign w:val="center"/>
          </w:tcPr>
          <w:p w14:paraId="5633E01D" w14:textId="77777777" w:rsidR="00CF3957" w:rsidRPr="00A14790" w:rsidRDefault="00CF3957" w:rsidP="001E71E3">
            <w:pPr>
              <w:keepNext/>
              <w:jc w:val="center"/>
              <w:rPr>
                <w:sz w:val="20"/>
                <w:szCs w:val="20"/>
              </w:rPr>
            </w:pPr>
            <w:r>
              <w:rPr>
                <w:sz w:val="20"/>
                <w:szCs w:val="20"/>
              </w:rPr>
              <w:t>14</w:t>
            </w:r>
            <w:r w:rsidRPr="00A14790">
              <w:rPr>
                <w:sz w:val="20"/>
                <w:szCs w:val="20"/>
              </w:rPr>
              <w:t>.</w:t>
            </w:r>
          </w:p>
        </w:tc>
        <w:tc>
          <w:tcPr>
            <w:tcW w:w="4786" w:type="dxa"/>
            <w:shd w:val="clear" w:color="auto" w:fill="auto"/>
            <w:noWrap/>
            <w:vAlign w:val="center"/>
          </w:tcPr>
          <w:p w14:paraId="1F299D17" w14:textId="77777777" w:rsidR="00CF3957" w:rsidRPr="00A14790" w:rsidRDefault="00CF3957" w:rsidP="001E71E3">
            <w:pPr>
              <w:keepNext/>
              <w:rPr>
                <w:sz w:val="20"/>
                <w:szCs w:val="20"/>
              </w:rPr>
            </w:pPr>
            <w:r>
              <w:rPr>
                <w:sz w:val="20"/>
                <w:szCs w:val="20"/>
              </w:rPr>
              <w:t>OSTALI</w:t>
            </w:r>
          </w:p>
        </w:tc>
        <w:tc>
          <w:tcPr>
            <w:tcW w:w="2816" w:type="dxa"/>
            <w:shd w:val="clear" w:color="auto" w:fill="auto"/>
            <w:noWrap/>
            <w:vAlign w:val="center"/>
          </w:tcPr>
          <w:p w14:paraId="1A7C4C0E" w14:textId="77777777" w:rsidR="00CF3957" w:rsidRPr="00A14790" w:rsidRDefault="00CF3957" w:rsidP="001E71E3">
            <w:pPr>
              <w:keepNext/>
              <w:jc w:val="right"/>
              <w:rPr>
                <w:sz w:val="20"/>
                <w:szCs w:val="20"/>
              </w:rPr>
            </w:pPr>
            <w:r w:rsidRPr="00223E94">
              <w:rPr>
                <w:sz w:val="20"/>
                <w:szCs w:val="20"/>
              </w:rPr>
              <w:t>518.457.439,77</w:t>
            </w:r>
          </w:p>
        </w:tc>
      </w:tr>
      <w:tr w:rsidR="00CF3957" w:rsidRPr="00A14790" w14:paraId="4A47A9C8" w14:textId="77777777" w:rsidTr="001E71E3">
        <w:trPr>
          <w:trHeight w:val="278"/>
          <w:jc w:val="center"/>
        </w:trPr>
        <w:tc>
          <w:tcPr>
            <w:tcW w:w="978" w:type="dxa"/>
            <w:shd w:val="clear" w:color="auto" w:fill="auto"/>
            <w:noWrap/>
            <w:vAlign w:val="center"/>
          </w:tcPr>
          <w:p w14:paraId="6918E478" w14:textId="77777777" w:rsidR="00CF3957" w:rsidRPr="00A14790" w:rsidRDefault="00CF3957" w:rsidP="001E71E3">
            <w:pPr>
              <w:keepNext/>
              <w:jc w:val="center"/>
              <w:rPr>
                <w:sz w:val="20"/>
                <w:szCs w:val="20"/>
              </w:rPr>
            </w:pPr>
          </w:p>
        </w:tc>
        <w:tc>
          <w:tcPr>
            <w:tcW w:w="4786" w:type="dxa"/>
            <w:shd w:val="clear" w:color="auto" w:fill="auto"/>
            <w:noWrap/>
            <w:vAlign w:val="center"/>
          </w:tcPr>
          <w:p w14:paraId="7B01BCD6" w14:textId="77777777" w:rsidR="00CF3957" w:rsidRPr="00A14790" w:rsidRDefault="00CF3957" w:rsidP="001E71E3">
            <w:pPr>
              <w:keepNext/>
              <w:rPr>
                <w:b/>
                <w:sz w:val="20"/>
                <w:szCs w:val="20"/>
              </w:rPr>
            </w:pPr>
            <w:r w:rsidRPr="00A14790">
              <w:rPr>
                <w:b/>
                <w:sz w:val="20"/>
                <w:szCs w:val="20"/>
              </w:rPr>
              <w:t>UKUPNO</w:t>
            </w:r>
          </w:p>
        </w:tc>
        <w:tc>
          <w:tcPr>
            <w:tcW w:w="2816" w:type="dxa"/>
            <w:shd w:val="clear" w:color="auto" w:fill="auto"/>
            <w:noWrap/>
            <w:vAlign w:val="center"/>
          </w:tcPr>
          <w:p w14:paraId="0CB65781" w14:textId="77777777" w:rsidR="00CF3957" w:rsidRPr="00A14790" w:rsidRDefault="00CF3957" w:rsidP="001E71E3">
            <w:pPr>
              <w:keepNext/>
              <w:jc w:val="right"/>
              <w:rPr>
                <w:b/>
                <w:sz w:val="20"/>
                <w:szCs w:val="20"/>
              </w:rPr>
            </w:pPr>
            <w:r w:rsidRPr="00A14790">
              <w:rPr>
                <w:b/>
                <w:sz w:val="20"/>
                <w:szCs w:val="20"/>
              </w:rPr>
              <w:t>4.432.786.856,53</w:t>
            </w:r>
          </w:p>
        </w:tc>
      </w:tr>
    </w:tbl>
    <w:p w14:paraId="3A494728" w14:textId="77777777" w:rsidR="00CF3957" w:rsidRPr="00A14790" w:rsidRDefault="00CF3957" w:rsidP="00CF3957">
      <w:pPr>
        <w:jc w:val="both"/>
        <w:rPr>
          <w:b/>
          <w:color w:val="FF0000"/>
          <w:sz w:val="20"/>
          <w:szCs w:val="20"/>
        </w:rPr>
      </w:pPr>
    </w:p>
    <w:p w14:paraId="283B99C8" w14:textId="77777777" w:rsidR="00CF3957" w:rsidRPr="00A14790" w:rsidRDefault="00CF3957" w:rsidP="00CF3957">
      <w:pPr>
        <w:jc w:val="both"/>
        <w:rPr>
          <w:sz w:val="20"/>
          <w:szCs w:val="20"/>
        </w:rPr>
      </w:pPr>
      <w:r>
        <w:rPr>
          <w:sz w:val="20"/>
          <w:szCs w:val="20"/>
        </w:rPr>
        <w:t>R.br. 3.</w:t>
      </w:r>
      <w:r w:rsidRPr="00A14790">
        <w:rPr>
          <w:sz w:val="20"/>
          <w:szCs w:val="20"/>
        </w:rPr>
        <w:t xml:space="preserve"> - potraživanje u postupku provedbe </w:t>
      </w:r>
      <w:proofErr w:type="spellStart"/>
      <w:r w:rsidRPr="00A14790">
        <w:rPr>
          <w:sz w:val="20"/>
          <w:szCs w:val="20"/>
        </w:rPr>
        <w:t>isknjiženja</w:t>
      </w:r>
      <w:proofErr w:type="spellEnd"/>
      <w:r w:rsidRPr="00A14790">
        <w:rPr>
          <w:sz w:val="20"/>
          <w:szCs w:val="20"/>
        </w:rPr>
        <w:t xml:space="preserve"> temeljem odluke Vlade Republike Hrvatske</w:t>
      </w:r>
    </w:p>
    <w:p w14:paraId="118755BE" w14:textId="77777777" w:rsidR="00CF3957" w:rsidRPr="00A14790" w:rsidRDefault="00CF3957" w:rsidP="00CF3957">
      <w:pPr>
        <w:jc w:val="both"/>
        <w:rPr>
          <w:sz w:val="20"/>
          <w:szCs w:val="20"/>
        </w:rPr>
      </w:pPr>
      <w:r w:rsidRPr="00A14790">
        <w:rPr>
          <w:sz w:val="20"/>
          <w:szCs w:val="20"/>
        </w:rPr>
        <w:t>R.br. 4.-5 - potraživanja koja se namiruju u ovršnom postupku</w:t>
      </w:r>
    </w:p>
    <w:p w14:paraId="0FF10376" w14:textId="77777777" w:rsidR="00CF3957" w:rsidRDefault="00CF3957" w:rsidP="00CF3957">
      <w:pPr>
        <w:jc w:val="both"/>
        <w:rPr>
          <w:sz w:val="20"/>
          <w:szCs w:val="20"/>
        </w:rPr>
      </w:pPr>
      <w:r w:rsidRPr="00A14790">
        <w:rPr>
          <w:sz w:val="20"/>
          <w:szCs w:val="20"/>
        </w:rPr>
        <w:t>R.br. 6. – 12. - potraživanje prijavljeno u stečajni postupak</w:t>
      </w:r>
    </w:p>
    <w:p w14:paraId="2C1E8A81" w14:textId="77777777" w:rsidR="00CF3957" w:rsidRPr="007E4E73" w:rsidRDefault="00CF3957" w:rsidP="00CF3957">
      <w:pPr>
        <w:rPr>
          <w:sz w:val="20"/>
          <w:szCs w:val="20"/>
        </w:rPr>
      </w:pPr>
      <w:r>
        <w:rPr>
          <w:sz w:val="20"/>
          <w:szCs w:val="20"/>
        </w:rPr>
        <w:t>R. br. 14. – zbirno iskazani</w:t>
      </w:r>
      <w:r w:rsidRPr="007E4E73">
        <w:rPr>
          <w:sz w:val="20"/>
          <w:szCs w:val="20"/>
        </w:rPr>
        <w:t xml:space="preserve"> klasificirani podaci sukladno Zakonu o tajnosti podataka kojim se uređuje pojam klasificira</w:t>
      </w:r>
      <w:r>
        <w:rPr>
          <w:sz w:val="20"/>
          <w:szCs w:val="20"/>
        </w:rPr>
        <w:t>nih i neklasificiranih podataka</w:t>
      </w:r>
    </w:p>
    <w:p w14:paraId="2AB43907" w14:textId="77777777" w:rsidR="00CF3957" w:rsidRDefault="00CF3957" w:rsidP="00CF3957">
      <w:pPr>
        <w:jc w:val="both"/>
        <w:rPr>
          <w:sz w:val="20"/>
          <w:szCs w:val="20"/>
        </w:rPr>
      </w:pPr>
    </w:p>
    <w:p w14:paraId="5EFC83EE" w14:textId="77777777" w:rsidR="00CF3957" w:rsidRDefault="00CF3957" w:rsidP="00CF3957">
      <w:pPr>
        <w:jc w:val="both"/>
      </w:pPr>
      <w:r>
        <w:lastRenderedPageBreak/>
        <w:t>U stanju p</w:t>
      </w:r>
      <w:r w:rsidRPr="00152B49">
        <w:t>otraživanja za prihode od prodaje proizvoda i robe te pruženih usluga i za povrat po protestiranim jamstvima</w:t>
      </w:r>
      <w:r>
        <w:t xml:space="preserve"> na 31. prosinca 2022. godine 497.145.085,76 kuna odnosi se na potraživanje prema društvu </w:t>
      </w:r>
      <w:r w:rsidRPr="00152B49">
        <w:t xml:space="preserve">HŽ </w:t>
      </w:r>
      <w:proofErr w:type="spellStart"/>
      <w:r w:rsidRPr="00152B49">
        <w:t>Cargo</w:t>
      </w:r>
      <w:proofErr w:type="spellEnd"/>
      <w:r w:rsidRPr="00152B49">
        <w:t xml:space="preserve"> d.o.o. </w:t>
      </w:r>
      <w:r>
        <w:t xml:space="preserve">Vlada Republike Hrvatske je na sjednici održanoj 22. prosinca 2022. godine donijela Odluku o prihvaćanju nagodbe između Republike Hrvatske i društva HŽ </w:t>
      </w:r>
      <w:proofErr w:type="spellStart"/>
      <w:r>
        <w:t>Cargo</w:t>
      </w:r>
      <w:proofErr w:type="spellEnd"/>
      <w:r>
        <w:t xml:space="preserve"> d.o.o. u svrhu restrukturiranja (dalje u tekstu: Odluka VRH). Odlukom VRH prihvaćen je tekst Nagodbe između Republike Hrvatske i društva HŽ </w:t>
      </w:r>
      <w:proofErr w:type="spellStart"/>
      <w:r>
        <w:t>Cargo</w:t>
      </w:r>
      <w:proofErr w:type="spellEnd"/>
      <w:r>
        <w:t xml:space="preserve"> d.o.o., (dalje u tekstu: Nagodba) te je zaduženo Ministarstvo prometa i infrastrukture za nadziranje provedbe Nagodbe.</w:t>
      </w:r>
    </w:p>
    <w:p w14:paraId="185E18C1" w14:textId="77777777" w:rsidR="00CF3957" w:rsidRDefault="00CF3957" w:rsidP="00CF3957">
      <w:pPr>
        <w:jc w:val="both"/>
      </w:pPr>
    </w:p>
    <w:p w14:paraId="6CE86F0A" w14:textId="7149CB38" w:rsidR="00CF3957" w:rsidRDefault="00CF3957" w:rsidP="00CF3957">
      <w:pPr>
        <w:jc w:val="both"/>
      </w:pPr>
      <w:r>
        <w:t>Dana 23. prosinca 2022. u ime Republike Hrvatske Potpredsjednik Vlade i Ministar mora, prometa i infrastrukture potpisuje Nagodbu.</w:t>
      </w:r>
    </w:p>
    <w:p w14:paraId="2BF8C50D" w14:textId="77777777" w:rsidR="00CF3957" w:rsidRDefault="00CF3957" w:rsidP="00CF3957">
      <w:pPr>
        <w:jc w:val="both"/>
      </w:pPr>
    </w:p>
    <w:p w14:paraId="01AC454A" w14:textId="6CEA5CC8" w:rsidR="00CF3957" w:rsidRDefault="00CF3957" w:rsidP="00CF3957">
      <w:pPr>
        <w:jc w:val="both"/>
      </w:pPr>
      <w:r>
        <w:t xml:space="preserve">U preambuli Nagodbe </w:t>
      </w:r>
      <w:r w:rsidR="00701336">
        <w:t>navedeno je</w:t>
      </w:r>
      <w:r>
        <w:t xml:space="preserve"> da se ista temelji na članku 2. stavku 2. Zakona o podjeli trgovačkog društva HŽ-Hrvatske željeznice d.o.o. („Narodne novine“ br. 153/05 i 57/12, dalje Zakon o podjeli), točki II. Odluke VRH o podjeli trgovačkog društva HŽ-Hrvatske željeznice d.o.o. od 6. srpnja 2006. godine te točki 1.4 Plana podjele trgovačkog društva HŽ-Hrvatske željeznice d.o.o. Zagreb s namjerom da se HŽ </w:t>
      </w:r>
      <w:proofErr w:type="spellStart"/>
      <w:r>
        <w:t>Cargu</w:t>
      </w:r>
      <w:proofErr w:type="spellEnd"/>
      <w:r>
        <w:t xml:space="preserve"> namiri manje preneseni temeljni kapital na ime ulaganja u javno dobro (kao nadoknada uloženih vlastitih sredstava iz temeljenog kapitala), a na što HŽ </w:t>
      </w:r>
      <w:proofErr w:type="spellStart"/>
      <w:r>
        <w:t>Cargo</w:t>
      </w:r>
      <w:proofErr w:type="spellEnd"/>
      <w:r>
        <w:t xml:space="preserve"> ima pravo kao pravni </w:t>
      </w:r>
      <w:proofErr w:type="spellStart"/>
      <w:r>
        <w:t>sljednik</w:t>
      </w:r>
      <w:proofErr w:type="spellEnd"/>
      <w:r>
        <w:t xml:space="preserve"> iza HŽ-Hrvatske željeznice d.o.o.</w:t>
      </w:r>
    </w:p>
    <w:p w14:paraId="48EAD8E3" w14:textId="77777777" w:rsidR="00CF3957" w:rsidRDefault="00CF3957" w:rsidP="00CF3957">
      <w:pPr>
        <w:jc w:val="both"/>
      </w:pPr>
    </w:p>
    <w:p w14:paraId="04ADF017" w14:textId="71202FC1" w:rsidR="001E71E3" w:rsidRPr="001E71E3" w:rsidRDefault="001E71E3" w:rsidP="00CF3957">
      <w:pPr>
        <w:jc w:val="both"/>
      </w:pPr>
      <w:r>
        <w:t xml:space="preserve">Sukladno Nagodbi trgovačko društvo HŽ </w:t>
      </w:r>
      <w:proofErr w:type="spellStart"/>
      <w:r>
        <w:t>Cargo</w:t>
      </w:r>
      <w:proofErr w:type="spellEnd"/>
      <w:r>
        <w:t xml:space="preserve"> d.o.o. kao pravni </w:t>
      </w:r>
      <w:proofErr w:type="spellStart"/>
      <w:r>
        <w:t>sljednik</w:t>
      </w:r>
      <w:proofErr w:type="spellEnd"/>
      <w:r>
        <w:t xml:space="preserve"> društva HŽ-Hrvatske željeznice d.o.o. u manjku prenesenog kapitala sudjeluje sa ukupno 1.184.379.652,50 kuna. Dio manjka u ukupnom iznosu od </w:t>
      </w:r>
      <w:r w:rsidRPr="001E71E3">
        <w:t>504.903.690,68 kuna (</w:t>
      </w:r>
      <w:r>
        <w:t>673.061.323,82 –</w:t>
      </w:r>
      <w:r w:rsidR="004D29A0">
        <w:t xml:space="preserve"> 168.157.633,14) RH sukladno Nagodbi namiruje zatvaranjem potraživanja za otplaćenu glavnicu i kamate po protestiranom jamstvu, a dio preuzimanjem obveza plaćanja neotplaćene glavnice i troškova kamata na temelju izdanih državnih jamstava navedenih u Nagodbi. </w:t>
      </w:r>
    </w:p>
    <w:p w14:paraId="585A9EB5" w14:textId="77777777" w:rsidR="001E71E3" w:rsidRDefault="001E71E3" w:rsidP="00CF3957">
      <w:pPr>
        <w:jc w:val="both"/>
      </w:pPr>
    </w:p>
    <w:p w14:paraId="3919B198" w14:textId="595DE0EF" w:rsidR="00CF3957" w:rsidRDefault="004D29A0" w:rsidP="00CF3957">
      <w:pPr>
        <w:jc w:val="both"/>
      </w:pPr>
      <w:r>
        <w:t>U Odluci Vlade</w:t>
      </w:r>
      <w:r w:rsidR="00CF3957">
        <w:t xml:space="preserve"> RH </w:t>
      </w:r>
      <w:r>
        <w:t>navedeno je</w:t>
      </w:r>
      <w:r w:rsidR="00CF3957">
        <w:t xml:space="preserve"> ka</w:t>
      </w:r>
      <w:r>
        <w:t>k</w:t>
      </w:r>
      <w:r w:rsidR="00CF3957">
        <w:t xml:space="preserve">o će se sredstva za provedbu </w:t>
      </w:r>
      <w:r>
        <w:t xml:space="preserve">plaćanja preuzetih </w:t>
      </w:r>
      <w:r w:rsidR="00CF3957">
        <w:t xml:space="preserve">obveza </w:t>
      </w:r>
      <w:r w:rsidRPr="004D29A0">
        <w:t>neotplaćene glavnice i troškova kamata na temelju izdanih državnih jamstava</w:t>
      </w:r>
      <w:r w:rsidR="00CF3957">
        <w:t xml:space="preserve"> osigurati u državnom proračunu na pozicijama Ministarstva financija. </w:t>
      </w:r>
    </w:p>
    <w:p w14:paraId="29BEDF60" w14:textId="77777777" w:rsidR="00CF3957" w:rsidRDefault="00CF3957" w:rsidP="00CF3957">
      <w:pPr>
        <w:jc w:val="both"/>
      </w:pPr>
    </w:p>
    <w:p w14:paraId="1A8C2079" w14:textId="18986E99" w:rsidR="00CF3957" w:rsidRDefault="00CF3957" w:rsidP="00CF3957">
      <w:pPr>
        <w:jc w:val="both"/>
      </w:pPr>
      <w:r>
        <w:t xml:space="preserve">Sukladno članku 2. Nagodbe Republika Hrvatska (sa pozicija Ministarstva financija glave 02506) vrši mjesečne otplate kredita osiguranih državnim jamstvima na koje se referira predmetna Nagodba. </w:t>
      </w:r>
    </w:p>
    <w:p w14:paraId="0CC67716" w14:textId="77777777" w:rsidR="00CF3957" w:rsidRDefault="00CF3957" w:rsidP="00CF3957">
      <w:pPr>
        <w:jc w:val="both"/>
      </w:pPr>
    </w:p>
    <w:p w14:paraId="34D33227" w14:textId="6FDD076E" w:rsidR="00CF3957" w:rsidRDefault="00CF3957" w:rsidP="00CF3957">
      <w:pPr>
        <w:jc w:val="both"/>
      </w:pPr>
      <w:r>
        <w:t xml:space="preserve">Sukladno predmetnoj nagodbi u Bilanci glave 02506 evidentirane su obveze za kredite od kreditnih institucija i potraživanje za povrat po protestiranim jamstvima koje će Republika Hrvatska sukladno članku 2. predmetne nagodbe priznati kao povećanje temeljnog kapitala društva HŽ </w:t>
      </w:r>
      <w:proofErr w:type="spellStart"/>
      <w:r>
        <w:t>Cargo</w:t>
      </w:r>
      <w:proofErr w:type="spellEnd"/>
      <w:r>
        <w:t xml:space="preserve"> d.o.o. po donošenju Odluke Vlade o povećanju temeljnog kapitala društva HŽ </w:t>
      </w:r>
      <w:proofErr w:type="spellStart"/>
      <w:r>
        <w:t>Cargo</w:t>
      </w:r>
      <w:proofErr w:type="spellEnd"/>
      <w:r>
        <w:t xml:space="preserve"> d.o.o.</w:t>
      </w:r>
    </w:p>
    <w:p w14:paraId="2537CD9F" w14:textId="77777777" w:rsidR="00CF3957" w:rsidRDefault="00CF3957" w:rsidP="00CF3957">
      <w:pPr>
        <w:jc w:val="both"/>
      </w:pPr>
    </w:p>
    <w:p w14:paraId="68D8233A" w14:textId="625701F0" w:rsidR="00CF3957" w:rsidRDefault="00CF3957" w:rsidP="00CF3957">
      <w:pPr>
        <w:jc w:val="both"/>
      </w:pPr>
      <w:r>
        <w:t xml:space="preserve">Na dan bilance 31.12.2022. </w:t>
      </w:r>
      <w:r w:rsidR="005A1489">
        <w:t>o</w:t>
      </w:r>
      <w:r w:rsidR="004D29A0">
        <w:t xml:space="preserve">dluka o dokapitalizaciji na koju se poziva Nagodba nije još donesena i sukladno tome </w:t>
      </w:r>
      <w:r>
        <w:t xml:space="preserve">Ministarstvo financija zadržalo </w:t>
      </w:r>
      <w:r w:rsidR="004D29A0">
        <w:t xml:space="preserve">je </w:t>
      </w:r>
      <w:r>
        <w:t xml:space="preserve">u svojim evidencijama ukupan iznos potraživanja prema trgovačkom društvu HŽ </w:t>
      </w:r>
      <w:proofErr w:type="spellStart"/>
      <w:r>
        <w:t>Cargo</w:t>
      </w:r>
      <w:proofErr w:type="spellEnd"/>
      <w:r>
        <w:t xml:space="preserve"> d.o.o. u iznosu od 504.903.690,68 HRK.</w:t>
      </w:r>
    </w:p>
    <w:p w14:paraId="3512337C" w14:textId="5504057B" w:rsidR="00CF3957" w:rsidRDefault="00CF3957" w:rsidP="00CF3957">
      <w:pPr>
        <w:jc w:val="both"/>
      </w:pPr>
    </w:p>
    <w:p w14:paraId="164DECD3" w14:textId="737CE64D" w:rsidR="00CF3957" w:rsidRDefault="00CF3957" w:rsidP="00CF3957">
      <w:pPr>
        <w:jc w:val="both"/>
      </w:pPr>
      <w:r>
        <w:t>Po okončanju transakcije imovina u obliku potraživanja prijeći će u drugi pojavni oblik financijske imovine – u</w:t>
      </w:r>
      <w:r w:rsidR="004D29A0">
        <w:t>djele, a obračunati prihodi prijeći</w:t>
      </w:r>
      <w:r>
        <w:t xml:space="preserve"> će u izvore vlasništva za udjele. </w:t>
      </w:r>
    </w:p>
    <w:p w14:paraId="468306C9" w14:textId="77777777" w:rsidR="00CF3957" w:rsidRDefault="00CF3957" w:rsidP="00CF3957">
      <w:pPr>
        <w:jc w:val="both"/>
      </w:pPr>
    </w:p>
    <w:p w14:paraId="6CD3787F" w14:textId="77777777" w:rsidR="00CF3957" w:rsidRDefault="00CF3957" w:rsidP="00CF3957">
      <w:pPr>
        <w:keepNext/>
        <w:jc w:val="center"/>
        <w:rPr>
          <w:sz w:val="28"/>
          <w:szCs w:val="28"/>
        </w:rPr>
      </w:pPr>
    </w:p>
    <w:p w14:paraId="07C29661" w14:textId="77777777" w:rsidR="00CF3957" w:rsidRPr="00C85DCC" w:rsidRDefault="00CF3957" w:rsidP="00CF3957">
      <w:pPr>
        <w:keepNext/>
        <w:jc w:val="center"/>
        <w:rPr>
          <w:sz w:val="28"/>
          <w:szCs w:val="28"/>
        </w:rPr>
      </w:pPr>
      <w:r>
        <w:rPr>
          <w:sz w:val="28"/>
          <w:szCs w:val="28"/>
        </w:rPr>
        <w:t>Bilješka 18</w:t>
      </w:r>
      <w:r w:rsidRPr="00C85DCC">
        <w:rPr>
          <w:sz w:val="28"/>
          <w:szCs w:val="28"/>
        </w:rPr>
        <w:t>.</w:t>
      </w:r>
    </w:p>
    <w:p w14:paraId="4F0FACA0" w14:textId="77777777" w:rsidR="00CF3957" w:rsidRDefault="00CF3957" w:rsidP="00CF3957">
      <w:pPr>
        <w:keepNext/>
        <w:jc w:val="center"/>
        <w:rPr>
          <w:sz w:val="28"/>
          <w:szCs w:val="28"/>
        </w:rPr>
      </w:pPr>
      <w:r>
        <w:rPr>
          <w:sz w:val="28"/>
          <w:szCs w:val="28"/>
        </w:rPr>
        <w:t>Šifra 168</w:t>
      </w:r>
      <w:r w:rsidRPr="00D42A73">
        <w:rPr>
          <w:sz w:val="28"/>
          <w:szCs w:val="28"/>
        </w:rPr>
        <w:t xml:space="preserve"> Potraživanje za kazne, upravne mjere te ostale prihode</w:t>
      </w:r>
    </w:p>
    <w:p w14:paraId="275E6878" w14:textId="77777777" w:rsidR="00CF3957" w:rsidRDefault="00CF3957" w:rsidP="00CF3957">
      <w:pPr>
        <w:keepNext/>
        <w:jc w:val="both"/>
        <w:rPr>
          <w:sz w:val="28"/>
          <w:szCs w:val="28"/>
        </w:rPr>
      </w:pPr>
    </w:p>
    <w:p w14:paraId="6BDA7E1C" w14:textId="77777777" w:rsidR="00CF3957" w:rsidRPr="00CB7DBB" w:rsidRDefault="00CF3957" w:rsidP="00CF3957">
      <w:pPr>
        <w:keepNext/>
        <w:jc w:val="both"/>
        <w:rPr>
          <w:sz w:val="28"/>
          <w:szCs w:val="28"/>
        </w:rPr>
      </w:pPr>
      <w:r>
        <w:rPr>
          <w:szCs w:val="28"/>
        </w:rPr>
        <w:t>Stanje p</w:t>
      </w:r>
      <w:r w:rsidRPr="003F5B6C">
        <w:t>otraživanje</w:t>
      </w:r>
      <w:r>
        <w:t xml:space="preserve"> na dan 31. prosinca 2022. iznosi 0,00 kuna dok je početno stanje na dan </w:t>
      </w:r>
      <w:r w:rsidRPr="003F5B6C">
        <w:t xml:space="preserve">1. </w:t>
      </w:r>
      <w:r>
        <w:t>siječnja 2022. iznosilo</w:t>
      </w:r>
      <w:r w:rsidRPr="003F5B6C">
        <w:t xml:space="preserve"> 27.918.437,42 </w:t>
      </w:r>
      <w:r w:rsidRPr="003F5B6C">
        <w:rPr>
          <w:bCs/>
        </w:rPr>
        <w:t>kun</w:t>
      </w:r>
      <w:r>
        <w:rPr>
          <w:bCs/>
        </w:rPr>
        <w:t>a, a</w:t>
      </w:r>
      <w:r w:rsidRPr="003F5B6C">
        <w:t xml:space="preserve"> odnosi</w:t>
      </w:r>
      <w:r>
        <w:t>lo</w:t>
      </w:r>
      <w:r w:rsidRPr="003F5B6C">
        <w:t xml:space="preserve"> se na potraživanje od Đakovštine d.d. u stečaju</w:t>
      </w:r>
      <w:r>
        <w:t xml:space="preserve"> temeljem</w:t>
      </w:r>
      <w:r w:rsidRPr="008A5404">
        <w:t xml:space="preserve"> ugovora o prije</w:t>
      </w:r>
      <w:r>
        <w:t>nosu tražbine kojima se na Republiku Hrvatsku</w:t>
      </w:r>
      <w:r w:rsidRPr="008A5404">
        <w:t xml:space="preserve"> pren</w:t>
      </w:r>
      <w:r>
        <w:t>ose</w:t>
      </w:r>
      <w:r w:rsidRPr="008A5404">
        <w:t xml:space="preserve"> priznata, a neisplaćena potraživanja radnika, stečajnih vjerovnika prvog višeg isplatnog reda, osim članova Uprave prema društvu Đakovština d.d. u stečaju</w:t>
      </w:r>
      <w:r>
        <w:t>.</w:t>
      </w:r>
    </w:p>
    <w:p w14:paraId="3824F30E" w14:textId="77777777" w:rsidR="00CF3957" w:rsidRDefault="00CF3957" w:rsidP="00CF3957">
      <w:pPr>
        <w:jc w:val="both"/>
      </w:pPr>
    </w:p>
    <w:p w14:paraId="7C8D35BA" w14:textId="77777777" w:rsidR="00CF3957" w:rsidRDefault="00CF3957" w:rsidP="00CF3957">
      <w:pPr>
        <w:jc w:val="both"/>
      </w:pPr>
      <w:r>
        <w:t>Nakon provedene prve naknadne i završne diobe, Trgovački sud u Osijeku donio je rješenje (rješenje broj Tt-12/336-2) kojim je zaključen stečajni postupak nad stečajnom masom iza Đakovština d.d. u stečaju, te je ista nakon toga brisana iz Sudskog registra Ministarstva pravosuđa i uprave. Ministarstvo financija u 2022. godini je temeljem zaključenja stečajnog postupka zatvorilo potraživanje prema Đakovštini</w:t>
      </w:r>
      <w:r w:rsidRPr="003F5B6C">
        <w:t xml:space="preserve"> d.d. u stečaju</w:t>
      </w:r>
      <w:r>
        <w:t xml:space="preserve"> naplatom dijela potraživanja te otpisom preostalog dijela potraživanja s obzirom</w:t>
      </w:r>
      <w:r w:rsidRPr="007A620A">
        <w:t xml:space="preserve"> </w:t>
      </w:r>
      <w:r>
        <w:t xml:space="preserve">da </w:t>
      </w:r>
      <w:r w:rsidRPr="007A620A">
        <w:t xml:space="preserve">stečajni dužnik </w:t>
      </w:r>
      <w:r>
        <w:t>nakon provedenih dioba nije imao</w:t>
      </w:r>
      <w:r w:rsidRPr="007A620A">
        <w:t xml:space="preserve"> imovine koju bi mogao unovčiti</w:t>
      </w:r>
      <w:r>
        <w:t>.</w:t>
      </w:r>
    </w:p>
    <w:p w14:paraId="50531203" w14:textId="77777777" w:rsidR="00CF3957" w:rsidRDefault="00CF3957" w:rsidP="00CF3957">
      <w:pPr>
        <w:jc w:val="center"/>
        <w:rPr>
          <w:sz w:val="28"/>
          <w:szCs w:val="28"/>
        </w:rPr>
      </w:pPr>
    </w:p>
    <w:p w14:paraId="1DE6D73B" w14:textId="77777777" w:rsidR="00CF3957" w:rsidRPr="00C85DCC" w:rsidRDefault="00CF3957" w:rsidP="00CF3957">
      <w:pPr>
        <w:jc w:val="center"/>
        <w:rPr>
          <w:sz w:val="28"/>
          <w:szCs w:val="28"/>
        </w:rPr>
      </w:pPr>
      <w:r>
        <w:rPr>
          <w:sz w:val="28"/>
          <w:szCs w:val="28"/>
        </w:rPr>
        <w:t>Bilješka 19</w:t>
      </w:r>
      <w:r w:rsidRPr="00C85DCC">
        <w:rPr>
          <w:sz w:val="28"/>
          <w:szCs w:val="28"/>
        </w:rPr>
        <w:t xml:space="preserve">. </w:t>
      </w:r>
    </w:p>
    <w:p w14:paraId="3BDBB99E" w14:textId="77777777" w:rsidR="00CF3957" w:rsidRPr="00D42A73" w:rsidRDefault="00CF3957" w:rsidP="00CF3957">
      <w:pPr>
        <w:jc w:val="center"/>
        <w:rPr>
          <w:sz w:val="28"/>
          <w:szCs w:val="28"/>
        </w:rPr>
      </w:pPr>
      <w:r>
        <w:rPr>
          <w:sz w:val="28"/>
          <w:szCs w:val="28"/>
        </w:rPr>
        <w:t>Šifra 23</w:t>
      </w:r>
      <w:r w:rsidRPr="00D42A73">
        <w:rPr>
          <w:sz w:val="28"/>
          <w:szCs w:val="28"/>
        </w:rPr>
        <w:t xml:space="preserve"> do</w:t>
      </w:r>
      <w:r>
        <w:rPr>
          <w:sz w:val="28"/>
          <w:szCs w:val="28"/>
        </w:rPr>
        <w:t xml:space="preserve"> 239</w:t>
      </w:r>
      <w:r w:rsidRPr="00D42A73">
        <w:rPr>
          <w:sz w:val="28"/>
          <w:szCs w:val="28"/>
        </w:rPr>
        <w:t xml:space="preserve"> Obveze za rashode poslovanja</w:t>
      </w:r>
    </w:p>
    <w:p w14:paraId="776CAB4D" w14:textId="77777777" w:rsidR="00CF3957" w:rsidRDefault="00CF3957" w:rsidP="00CF3957">
      <w:pPr>
        <w:jc w:val="both"/>
      </w:pPr>
    </w:p>
    <w:p w14:paraId="1EF49F10" w14:textId="77777777" w:rsidR="00CF3957" w:rsidRDefault="00CF3957" w:rsidP="00CF3957">
      <w:pPr>
        <w:spacing w:before="120" w:after="120"/>
        <w:jc w:val="both"/>
      </w:pPr>
      <w:r w:rsidRPr="00D42A73">
        <w:t xml:space="preserve">Iznos od </w:t>
      </w:r>
      <w:r>
        <w:t>26.210.027.354,06</w:t>
      </w:r>
      <w:r w:rsidRPr="00D42A73">
        <w:t xml:space="preserve"> </w:t>
      </w:r>
      <w:r w:rsidRPr="00D42A73">
        <w:rPr>
          <w:bCs/>
        </w:rPr>
        <w:t>kun</w:t>
      </w:r>
      <w:r>
        <w:rPr>
          <w:bCs/>
        </w:rPr>
        <w:t>a</w:t>
      </w:r>
      <w:r w:rsidRPr="00D42A73">
        <w:t xml:space="preserve"> </w:t>
      </w:r>
      <w:r>
        <w:t xml:space="preserve">evidentiran na 31. prosinca 2022. godine </w:t>
      </w:r>
      <w:r w:rsidRPr="00D42A73">
        <w:t xml:space="preserve">na </w:t>
      </w:r>
      <w:r>
        <w:t xml:space="preserve">šifri 23 </w:t>
      </w:r>
      <w:r w:rsidRPr="00D42A73">
        <w:rPr>
          <w:i/>
        </w:rPr>
        <w:t>Obveze za rashode poslovanja</w:t>
      </w:r>
      <w:r w:rsidRPr="00D42A73">
        <w:t xml:space="preserve"> odnosi se na unesene, a neplaćene zahtjeve u 202</w:t>
      </w:r>
      <w:r>
        <w:t xml:space="preserve">2. godini. </w:t>
      </w:r>
    </w:p>
    <w:p w14:paraId="2986E67B" w14:textId="77777777" w:rsidR="00CF3957" w:rsidRPr="00D42A73" w:rsidRDefault="00CF3957" w:rsidP="00CF3957">
      <w:pPr>
        <w:spacing w:before="120" w:after="120"/>
        <w:jc w:val="both"/>
      </w:pPr>
      <w:r>
        <w:t>Navedeno uključuje i</w:t>
      </w:r>
      <w:r w:rsidRPr="00D42A73">
        <w:t>znos</w:t>
      </w:r>
      <w:r>
        <w:t xml:space="preserve"> iskazan na šifri 232 </w:t>
      </w:r>
      <w:r w:rsidRPr="00334A54">
        <w:rPr>
          <w:i/>
        </w:rPr>
        <w:t>Obveze za materijalne rashode</w:t>
      </w:r>
      <w:r>
        <w:t xml:space="preserve"> i šifri 234 </w:t>
      </w:r>
      <w:r>
        <w:rPr>
          <w:i/>
        </w:rPr>
        <w:t xml:space="preserve">Obveze za financijske rashode </w:t>
      </w:r>
      <w:r w:rsidRPr="00334A54">
        <w:t>u ukupnoj visini</w:t>
      </w:r>
      <w:r>
        <w:rPr>
          <w:i/>
        </w:rPr>
        <w:t xml:space="preserve"> </w:t>
      </w:r>
      <w:r w:rsidRPr="00334A54">
        <w:t>26.600.499,97</w:t>
      </w:r>
      <w:r>
        <w:t xml:space="preserve"> kuna, </w:t>
      </w:r>
      <w:r w:rsidRPr="00D42A73">
        <w:t xml:space="preserve">obveze bivšeg Fonda za naknadu oduzete imovine u iznosu od </w:t>
      </w:r>
      <w:r>
        <w:t>62.940.951,07</w:t>
      </w:r>
      <w:r w:rsidRPr="00D42A73">
        <w:t xml:space="preserve"> </w:t>
      </w:r>
      <w:r w:rsidRPr="00D42A73">
        <w:rPr>
          <w:bCs/>
        </w:rPr>
        <w:t>kuna</w:t>
      </w:r>
      <w:r>
        <w:t xml:space="preserve"> na šifri 238</w:t>
      </w:r>
      <w:r w:rsidRPr="00D42A73">
        <w:t xml:space="preserve"> </w:t>
      </w:r>
      <w:r w:rsidRPr="00D42A73">
        <w:rPr>
          <w:i/>
        </w:rPr>
        <w:t>Obveze za kazne, naknade šteta i kapitalne pomoći</w:t>
      </w:r>
      <w:r>
        <w:rPr>
          <w:i/>
        </w:rPr>
        <w:t xml:space="preserve"> </w:t>
      </w:r>
      <w:r w:rsidRPr="00334A54">
        <w:t>te</w:t>
      </w:r>
      <w:r>
        <w:rPr>
          <w:i/>
        </w:rPr>
        <w:t xml:space="preserve"> </w:t>
      </w:r>
      <w:r w:rsidRPr="00D42A73">
        <w:t>iznos</w:t>
      </w:r>
      <w:r>
        <w:t xml:space="preserve"> 26.120.785.903,02</w:t>
      </w:r>
      <w:r w:rsidRPr="00D42A73">
        <w:t xml:space="preserve"> </w:t>
      </w:r>
      <w:r w:rsidRPr="00D42A73">
        <w:rPr>
          <w:bCs/>
        </w:rPr>
        <w:t>kuna</w:t>
      </w:r>
      <w:r>
        <w:rPr>
          <w:bCs/>
        </w:rPr>
        <w:t xml:space="preserve"> iskazan na </w:t>
      </w:r>
      <w:r>
        <w:t>šifri 239</w:t>
      </w:r>
      <w:r w:rsidRPr="00D42A73">
        <w:t xml:space="preserve"> </w:t>
      </w:r>
      <w:r w:rsidRPr="00D42A73">
        <w:rPr>
          <w:i/>
        </w:rPr>
        <w:t>Ostale tekuće obveze</w:t>
      </w:r>
      <w:r>
        <w:rPr>
          <w:bCs/>
        </w:rPr>
        <w:t>,</w:t>
      </w:r>
      <w:r w:rsidRPr="00D42A73">
        <w:t xml:space="preserve"> </w:t>
      </w:r>
      <w:r>
        <w:t xml:space="preserve">a </w:t>
      </w:r>
      <w:r w:rsidRPr="00D42A73">
        <w:t xml:space="preserve">koji između ostalog uključuje: </w:t>
      </w:r>
    </w:p>
    <w:p w14:paraId="3744C2F8" w14:textId="77777777" w:rsidR="00CF3957" w:rsidRPr="00BF463B" w:rsidRDefault="00CF3957" w:rsidP="00CF3957">
      <w:pPr>
        <w:numPr>
          <w:ilvl w:val="0"/>
          <w:numId w:val="3"/>
        </w:numPr>
        <w:tabs>
          <w:tab w:val="decimal" w:pos="9000"/>
        </w:tabs>
      </w:pPr>
      <w:r w:rsidRPr="00BF463B">
        <w:t>obveze državnog proračuna za prihode proračunskih korisnika uplaćene na račun proračuna</w:t>
      </w:r>
      <w:r w:rsidRPr="00BF463B">
        <w:tab/>
        <w:t>5.176.755.501,06</w:t>
      </w:r>
    </w:p>
    <w:p w14:paraId="63F8661B" w14:textId="77777777" w:rsidR="00CF3957" w:rsidRPr="00BF463B" w:rsidRDefault="00CF3957" w:rsidP="00CF3957">
      <w:pPr>
        <w:numPr>
          <w:ilvl w:val="0"/>
          <w:numId w:val="3"/>
        </w:numPr>
        <w:tabs>
          <w:tab w:val="decimal" w:pos="9000"/>
        </w:tabs>
      </w:pPr>
      <w:r w:rsidRPr="00BF463B">
        <w:t>obveze za predujmove korisnika</w:t>
      </w:r>
      <w:r w:rsidRPr="00BF463B">
        <w:tab/>
        <w:t>2.244.358,89</w:t>
      </w:r>
    </w:p>
    <w:p w14:paraId="4B71F49F" w14:textId="77777777" w:rsidR="00CF3957" w:rsidRPr="00BF463B" w:rsidRDefault="00CF3957" w:rsidP="00CF3957">
      <w:pPr>
        <w:numPr>
          <w:ilvl w:val="0"/>
          <w:numId w:val="3"/>
        </w:numPr>
        <w:tabs>
          <w:tab w:val="decimal" w:pos="9000"/>
        </w:tabs>
        <w:rPr>
          <w:bCs/>
        </w:rPr>
      </w:pPr>
      <w:r w:rsidRPr="00BF463B">
        <w:rPr>
          <w:bCs/>
        </w:rPr>
        <w:t>35 posto od prodaje stanova Ljubljanske banke</w:t>
      </w:r>
      <w:r w:rsidRPr="00BF463B">
        <w:rPr>
          <w:bCs/>
        </w:rPr>
        <w:tab/>
        <w:t>397.001,36</w:t>
      </w:r>
    </w:p>
    <w:p w14:paraId="6DC2574B" w14:textId="77777777" w:rsidR="00CF3957" w:rsidRPr="00BF463B" w:rsidRDefault="00CF3957" w:rsidP="00CF3957">
      <w:pPr>
        <w:numPr>
          <w:ilvl w:val="0"/>
          <w:numId w:val="3"/>
        </w:numPr>
        <w:tabs>
          <w:tab w:val="decimal" w:pos="9000"/>
        </w:tabs>
        <w:rPr>
          <w:bCs/>
        </w:rPr>
      </w:pPr>
      <w:r w:rsidRPr="007A76D5">
        <w:t>depozite carinarnica</w:t>
      </w:r>
      <w:r w:rsidRPr="00BF463B">
        <w:rPr>
          <w:bCs/>
        </w:rPr>
        <w:tab/>
        <w:t>64.761.291,93</w:t>
      </w:r>
    </w:p>
    <w:p w14:paraId="539BC8CA" w14:textId="77777777" w:rsidR="00CF3957" w:rsidRPr="00BF463B" w:rsidRDefault="00CF3957" w:rsidP="00CF3957">
      <w:pPr>
        <w:numPr>
          <w:ilvl w:val="0"/>
          <w:numId w:val="3"/>
        </w:numPr>
        <w:tabs>
          <w:tab w:val="decimal" w:pos="9000"/>
        </w:tabs>
        <w:ind w:right="-116"/>
        <w:rPr>
          <w:bCs/>
        </w:rPr>
      </w:pPr>
      <w:r w:rsidRPr="00BF463B">
        <w:rPr>
          <w:bCs/>
        </w:rPr>
        <w:t>depozite korisnika iz ranijih godina                                                                80.503.370,08</w:t>
      </w:r>
    </w:p>
    <w:p w14:paraId="1A72C0A1" w14:textId="77777777" w:rsidR="00CF3957" w:rsidRPr="00BF463B" w:rsidRDefault="00CF3957" w:rsidP="00CF3957">
      <w:pPr>
        <w:numPr>
          <w:ilvl w:val="0"/>
          <w:numId w:val="3"/>
        </w:numPr>
        <w:tabs>
          <w:tab w:val="decimal" w:pos="9000"/>
        </w:tabs>
        <w:rPr>
          <w:bCs/>
        </w:rPr>
      </w:pPr>
      <w:r w:rsidRPr="00BF463B">
        <w:rPr>
          <w:bCs/>
        </w:rPr>
        <w:t>sredstva Sigurnosnog fonda za žitarice i industrijsko bilje</w:t>
      </w:r>
      <w:r w:rsidRPr="00BF463B">
        <w:rPr>
          <w:bCs/>
        </w:rPr>
        <w:tab/>
        <w:t>1.784.050,00</w:t>
      </w:r>
    </w:p>
    <w:p w14:paraId="3F54B2C3" w14:textId="77777777" w:rsidR="00CF3957" w:rsidRPr="00BF463B" w:rsidRDefault="00CF3957" w:rsidP="00CF3957">
      <w:pPr>
        <w:numPr>
          <w:ilvl w:val="0"/>
          <w:numId w:val="3"/>
        </w:numPr>
        <w:tabs>
          <w:tab w:val="decimal" w:pos="9000"/>
        </w:tabs>
        <w:rPr>
          <w:bCs/>
        </w:rPr>
      </w:pPr>
      <w:r w:rsidRPr="00BF463B">
        <w:rPr>
          <w:bCs/>
        </w:rPr>
        <w:t>jamčevine korisnika</w:t>
      </w:r>
      <w:r w:rsidRPr="00BF463B">
        <w:rPr>
          <w:bCs/>
        </w:rPr>
        <w:tab/>
        <w:t>141.269.578,65</w:t>
      </w:r>
    </w:p>
    <w:p w14:paraId="2F5AA740" w14:textId="77777777" w:rsidR="00CF3957" w:rsidRPr="00BF463B" w:rsidRDefault="00CF3957" w:rsidP="00CF3957">
      <w:pPr>
        <w:numPr>
          <w:ilvl w:val="0"/>
          <w:numId w:val="3"/>
        </w:numPr>
        <w:tabs>
          <w:tab w:val="decimal" w:pos="9000"/>
        </w:tabs>
        <w:rPr>
          <w:bCs/>
        </w:rPr>
      </w:pPr>
      <w:r w:rsidRPr="007A76D5">
        <w:rPr>
          <w:bCs/>
        </w:rPr>
        <w:t>neprepoznate naloge</w:t>
      </w:r>
      <w:r w:rsidRPr="00BF463B">
        <w:rPr>
          <w:bCs/>
        </w:rPr>
        <w:tab/>
        <w:t>9.274.576,91</w:t>
      </w:r>
    </w:p>
    <w:p w14:paraId="43CF15DF" w14:textId="77777777" w:rsidR="00CF3957" w:rsidRPr="00BF463B" w:rsidRDefault="00CF3957" w:rsidP="00CF3957">
      <w:pPr>
        <w:numPr>
          <w:ilvl w:val="0"/>
          <w:numId w:val="3"/>
        </w:numPr>
        <w:tabs>
          <w:tab w:val="decimal" w:pos="9000"/>
        </w:tabs>
        <w:rPr>
          <w:bCs/>
        </w:rPr>
      </w:pPr>
      <w:r w:rsidRPr="00BF463B">
        <w:rPr>
          <w:bCs/>
        </w:rPr>
        <w:t>sredstva iz zaključenih stečajeva i likvidacija</w:t>
      </w:r>
      <w:r w:rsidRPr="00BF463B">
        <w:rPr>
          <w:bCs/>
        </w:rPr>
        <w:tab/>
        <w:t>30.307.406,18</w:t>
      </w:r>
    </w:p>
    <w:p w14:paraId="7A86DAC2" w14:textId="77777777" w:rsidR="00CF3957" w:rsidRPr="00BF463B" w:rsidRDefault="00CF3957" w:rsidP="00CF3957">
      <w:pPr>
        <w:numPr>
          <w:ilvl w:val="0"/>
          <w:numId w:val="3"/>
        </w:numPr>
        <w:tabs>
          <w:tab w:val="decimal" w:pos="9000"/>
        </w:tabs>
        <w:rPr>
          <w:bCs/>
        </w:rPr>
      </w:pPr>
      <w:r w:rsidRPr="00BF463B">
        <w:rPr>
          <w:bCs/>
        </w:rPr>
        <w:t xml:space="preserve">obveze za prodane kupone za sezonske poljoprivrednike </w:t>
      </w:r>
      <w:r w:rsidRPr="00BF463B">
        <w:rPr>
          <w:bCs/>
        </w:rPr>
        <w:tab/>
        <w:t>68.094.105,32</w:t>
      </w:r>
    </w:p>
    <w:p w14:paraId="22834102" w14:textId="77777777" w:rsidR="00CF3957" w:rsidRPr="00BF463B" w:rsidRDefault="00CF3957" w:rsidP="00CF3957">
      <w:pPr>
        <w:numPr>
          <w:ilvl w:val="0"/>
          <w:numId w:val="3"/>
        </w:numPr>
        <w:tabs>
          <w:tab w:val="decimal" w:pos="9000"/>
        </w:tabs>
        <w:rPr>
          <w:bCs/>
        </w:rPr>
      </w:pPr>
      <w:r w:rsidRPr="007A76D5">
        <w:rPr>
          <w:bCs/>
        </w:rPr>
        <w:t>obveze za doprinose osiguranja iz EU</w:t>
      </w:r>
      <w:r w:rsidRPr="00BF463B">
        <w:rPr>
          <w:bCs/>
        </w:rPr>
        <w:tab/>
        <w:t>2.756.436,53</w:t>
      </w:r>
    </w:p>
    <w:p w14:paraId="2061BF5F" w14:textId="77777777" w:rsidR="00CF3957" w:rsidRPr="00BF463B" w:rsidRDefault="00CF3957" w:rsidP="00CF3957">
      <w:pPr>
        <w:numPr>
          <w:ilvl w:val="0"/>
          <w:numId w:val="3"/>
        </w:numPr>
        <w:tabs>
          <w:tab w:val="decimal" w:pos="9000"/>
        </w:tabs>
        <w:rPr>
          <w:bCs/>
        </w:rPr>
      </w:pPr>
      <w:r w:rsidRPr="007A76D5">
        <w:rPr>
          <w:bCs/>
        </w:rPr>
        <w:t>oduzeta sredstva (od fizičkih i pravnih osoba)</w:t>
      </w:r>
      <w:r w:rsidRPr="00BF463B">
        <w:rPr>
          <w:bCs/>
        </w:rPr>
        <w:tab/>
        <w:t>616.198.496,83</w:t>
      </w:r>
    </w:p>
    <w:p w14:paraId="60F76A97" w14:textId="77777777" w:rsidR="00CF3957" w:rsidRDefault="00CF3957" w:rsidP="00CF3957"/>
    <w:p w14:paraId="0EC0FCD9" w14:textId="77777777" w:rsidR="00CF3957" w:rsidRDefault="00CF3957" w:rsidP="00CF3957">
      <w:pPr>
        <w:keepNext/>
        <w:jc w:val="center"/>
      </w:pPr>
    </w:p>
    <w:p w14:paraId="1CB0CA14" w14:textId="77777777" w:rsidR="00CF3957" w:rsidRPr="00D42A73" w:rsidRDefault="00CF3957" w:rsidP="00CF3957">
      <w:pPr>
        <w:keepNext/>
        <w:jc w:val="center"/>
      </w:pPr>
      <w:r w:rsidRPr="00D42A73">
        <w:rPr>
          <w:sz w:val="28"/>
          <w:szCs w:val="28"/>
        </w:rPr>
        <w:t>Bi</w:t>
      </w:r>
      <w:r>
        <w:rPr>
          <w:sz w:val="28"/>
          <w:szCs w:val="28"/>
        </w:rPr>
        <w:t>lješka 20</w:t>
      </w:r>
      <w:r w:rsidRPr="00D42A73">
        <w:rPr>
          <w:sz w:val="28"/>
          <w:szCs w:val="28"/>
        </w:rPr>
        <w:t>.</w:t>
      </w:r>
    </w:p>
    <w:p w14:paraId="4545326A" w14:textId="77777777" w:rsidR="00CF3957" w:rsidRPr="00D42A73" w:rsidRDefault="00CF3957" w:rsidP="00CF3957">
      <w:pPr>
        <w:jc w:val="center"/>
        <w:rPr>
          <w:sz w:val="28"/>
        </w:rPr>
      </w:pPr>
      <w:r>
        <w:rPr>
          <w:sz w:val="28"/>
        </w:rPr>
        <w:t>Šifra 2521</w:t>
      </w:r>
      <w:r w:rsidRPr="00D42A73">
        <w:rPr>
          <w:sz w:val="28"/>
        </w:rPr>
        <w:t xml:space="preserve"> Obveze za trezorske zapise</w:t>
      </w:r>
    </w:p>
    <w:p w14:paraId="0AABDB7C" w14:textId="77777777" w:rsidR="00CF3957" w:rsidRDefault="00CF3957" w:rsidP="00CF3957">
      <w:pPr>
        <w:jc w:val="both"/>
      </w:pPr>
    </w:p>
    <w:p w14:paraId="7E0FE8C1" w14:textId="77777777" w:rsidR="00CF3957" w:rsidRPr="00D42A73" w:rsidRDefault="00CF3957" w:rsidP="00CF3957">
      <w:pPr>
        <w:jc w:val="both"/>
      </w:pPr>
      <w:r w:rsidRPr="00D42A73">
        <w:lastRenderedPageBreak/>
        <w:t xml:space="preserve">Na </w:t>
      </w:r>
      <w:r>
        <w:t>dan 31. prosinca 2022.</w:t>
      </w:r>
      <w:r w:rsidRPr="00D42A73">
        <w:t xml:space="preserve"> </w:t>
      </w:r>
      <w:r>
        <w:t>godine o</w:t>
      </w:r>
      <w:r w:rsidRPr="005543A8">
        <w:t>bveze za trezorske zapise</w:t>
      </w:r>
      <w:r w:rsidRPr="00D42A73">
        <w:t xml:space="preserve"> </w:t>
      </w:r>
      <w:r>
        <w:t>iznosile su 20.320.799.607,00</w:t>
      </w:r>
      <w:r w:rsidRPr="00D42A73">
        <w:t xml:space="preserve"> kuna</w:t>
      </w:r>
      <w:r>
        <w:t xml:space="preserve"> </w:t>
      </w:r>
      <w:r w:rsidRPr="00D42A73">
        <w:t xml:space="preserve">što je </w:t>
      </w:r>
      <w:r>
        <w:t>smanjenje</w:t>
      </w:r>
      <w:r w:rsidRPr="00D42A73">
        <w:t xml:space="preserve"> od </w:t>
      </w:r>
      <w:r>
        <w:t>15,3</w:t>
      </w:r>
      <w:r w:rsidRPr="00D42A73">
        <w:t>% u odnosu na stanje na početku 202</w:t>
      </w:r>
      <w:r>
        <w:t>2</w:t>
      </w:r>
      <w:r w:rsidRPr="00D42A73">
        <w:t>. kada je iznosilo 23.</w:t>
      </w:r>
      <w:r>
        <w:t>983.951.650,00</w:t>
      </w:r>
      <w:r w:rsidRPr="00D42A73">
        <w:t xml:space="preserve"> </w:t>
      </w:r>
      <w:r w:rsidRPr="00D42A73">
        <w:rPr>
          <w:bCs/>
        </w:rPr>
        <w:t>kune</w:t>
      </w:r>
      <w:r w:rsidRPr="00D42A73">
        <w:t>, a odnosi se na tuzemne trezorske i Euro zapise</w:t>
      </w:r>
      <w:r>
        <w:t>,</w:t>
      </w:r>
      <w:r w:rsidRPr="00D42A73">
        <w:t xml:space="preserve"> či</w:t>
      </w:r>
      <w:r>
        <w:t>ja se analitika daje u Tablici 7</w:t>
      </w:r>
      <w:r w:rsidRPr="00D42A73">
        <w:t>.</w:t>
      </w:r>
    </w:p>
    <w:p w14:paraId="4361239B" w14:textId="77777777" w:rsidR="00CF3957" w:rsidRPr="00D42A73" w:rsidRDefault="00CF3957" w:rsidP="00CF3957">
      <w:pPr>
        <w:jc w:val="both"/>
        <w:rPr>
          <w:b/>
          <w:sz w:val="20"/>
          <w:szCs w:val="20"/>
        </w:rPr>
      </w:pPr>
    </w:p>
    <w:p w14:paraId="009FD5F1" w14:textId="77777777" w:rsidR="00CF3957" w:rsidRPr="00D444AB" w:rsidRDefault="00CF3957" w:rsidP="00CF3957">
      <w:pPr>
        <w:jc w:val="both"/>
        <w:rPr>
          <w:b/>
          <w:sz w:val="20"/>
          <w:szCs w:val="20"/>
        </w:rPr>
      </w:pPr>
      <w:r>
        <w:rPr>
          <w:b/>
          <w:sz w:val="20"/>
          <w:szCs w:val="20"/>
        </w:rPr>
        <w:t>Tablica 7.</w:t>
      </w:r>
    </w:p>
    <w:tbl>
      <w:tblPr>
        <w:tblW w:w="9320" w:type="dxa"/>
        <w:tblLook w:val="04A0" w:firstRow="1" w:lastRow="0" w:firstColumn="1" w:lastColumn="0" w:noHBand="0" w:noVBand="1"/>
      </w:tblPr>
      <w:tblGrid>
        <w:gridCol w:w="960"/>
        <w:gridCol w:w="3660"/>
        <w:gridCol w:w="1440"/>
        <w:gridCol w:w="1600"/>
        <w:gridCol w:w="1660"/>
      </w:tblGrid>
      <w:tr w:rsidR="00CF3957" w:rsidRPr="008B193A" w14:paraId="592A5C42" w14:textId="77777777" w:rsidTr="001E71E3">
        <w:trPr>
          <w:trHeight w:val="79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F2FDB" w14:textId="77777777" w:rsidR="00CF3957" w:rsidRPr="00D444AB" w:rsidRDefault="00CF3957" w:rsidP="001E71E3">
            <w:pPr>
              <w:jc w:val="center"/>
              <w:rPr>
                <w:b/>
                <w:bCs/>
                <w:sz w:val="18"/>
                <w:szCs w:val="16"/>
              </w:rPr>
            </w:pPr>
            <w:r w:rsidRPr="00D444AB">
              <w:rPr>
                <w:b/>
                <w:bCs/>
                <w:sz w:val="18"/>
                <w:szCs w:val="16"/>
              </w:rPr>
              <w:t>Red. broj</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14:paraId="233BABF8" w14:textId="77777777" w:rsidR="00CF3957" w:rsidRPr="00D444AB" w:rsidRDefault="00CF3957" w:rsidP="001E71E3">
            <w:pPr>
              <w:jc w:val="center"/>
              <w:rPr>
                <w:b/>
                <w:bCs/>
                <w:sz w:val="18"/>
                <w:szCs w:val="16"/>
              </w:rPr>
            </w:pPr>
            <w:r w:rsidRPr="00D444AB">
              <w:rPr>
                <w:b/>
                <w:bCs/>
                <w:sz w:val="18"/>
                <w:szCs w:val="16"/>
              </w:rPr>
              <w:t>Naziv</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3410C0B" w14:textId="77777777" w:rsidR="00CF3957" w:rsidRPr="00D444AB" w:rsidRDefault="00CF3957" w:rsidP="001E71E3">
            <w:pPr>
              <w:jc w:val="center"/>
              <w:rPr>
                <w:b/>
                <w:bCs/>
                <w:sz w:val="18"/>
                <w:szCs w:val="16"/>
              </w:rPr>
            </w:pPr>
            <w:r w:rsidRPr="00D444AB">
              <w:rPr>
                <w:b/>
                <w:bCs/>
                <w:sz w:val="18"/>
                <w:szCs w:val="16"/>
              </w:rPr>
              <w:t>Valuta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177D402" w14:textId="77777777" w:rsidR="00CF3957" w:rsidRPr="00D444AB" w:rsidRDefault="00CF3957" w:rsidP="001E71E3">
            <w:pPr>
              <w:jc w:val="center"/>
              <w:rPr>
                <w:b/>
                <w:bCs/>
                <w:sz w:val="18"/>
                <w:szCs w:val="16"/>
              </w:rPr>
            </w:pPr>
            <w:r w:rsidRPr="00D444AB">
              <w:rPr>
                <w:b/>
                <w:bCs/>
                <w:sz w:val="18"/>
                <w:szCs w:val="16"/>
              </w:rPr>
              <w:t>Stanje obveza na dan 31.12.2022. (</w:t>
            </w:r>
            <w:proofErr w:type="spellStart"/>
            <w:r w:rsidRPr="00D444AB">
              <w:rPr>
                <w:b/>
                <w:bCs/>
                <w:sz w:val="18"/>
                <w:szCs w:val="16"/>
              </w:rPr>
              <w:t>org.val</w:t>
            </w:r>
            <w:proofErr w:type="spellEnd"/>
            <w:r w:rsidRPr="00D444AB">
              <w:rPr>
                <w:b/>
                <w:bCs/>
                <w:sz w:val="18"/>
                <w:szCs w:val="16"/>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D0D0FF7" w14:textId="77777777" w:rsidR="00CF3957" w:rsidRPr="00D444AB" w:rsidRDefault="00CF3957" w:rsidP="001E71E3">
            <w:pPr>
              <w:jc w:val="center"/>
              <w:rPr>
                <w:b/>
                <w:bCs/>
                <w:sz w:val="18"/>
                <w:szCs w:val="16"/>
              </w:rPr>
            </w:pPr>
            <w:r w:rsidRPr="00D444AB">
              <w:rPr>
                <w:b/>
                <w:bCs/>
                <w:sz w:val="18"/>
                <w:szCs w:val="16"/>
              </w:rPr>
              <w:t>Stanje obveza na dan 31.12.2022. u kunama</w:t>
            </w:r>
          </w:p>
        </w:tc>
      </w:tr>
      <w:tr w:rsidR="00CF3957" w:rsidRPr="008B193A" w14:paraId="76EA9E98" w14:textId="77777777" w:rsidTr="001E71E3">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222E89" w14:textId="77777777" w:rsidR="00CF3957" w:rsidRPr="00D444AB" w:rsidRDefault="00CF3957" w:rsidP="001E71E3">
            <w:pPr>
              <w:jc w:val="center"/>
              <w:rPr>
                <w:sz w:val="18"/>
                <w:szCs w:val="16"/>
              </w:rPr>
            </w:pPr>
            <w:r w:rsidRPr="00D444AB">
              <w:rPr>
                <w:sz w:val="18"/>
                <w:szCs w:val="16"/>
              </w:rPr>
              <w:t>1.</w:t>
            </w:r>
          </w:p>
        </w:tc>
        <w:tc>
          <w:tcPr>
            <w:tcW w:w="3660" w:type="dxa"/>
            <w:tcBorders>
              <w:top w:val="nil"/>
              <w:left w:val="nil"/>
              <w:bottom w:val="single" w:sz="4" w:space="0" w:color="auto"/>
              <w:right w:val="single" w:sz="4" w:space="0" w:color="auto"/>
            </w:tcBorders>
            <w:shd w:val="clear" w:color="auto" w:fill="auto"/>
            <w:noWrap/>
            <w:vAlign w:val="bottom"/>
            <w:hideMark/>
          </w:tcPr>
          <w:p w14:paraId="3F602073" w14:textId="77777777" w:rsidR="00CF3957" w:rsidRPr="00D444AB" w:rsidRDefault="00CF3957" w:rsidP="001E71E3">
            <w:pPr>
              <w:rPr>
                <w:sz w:val="22"/>
                <w:szCs w:val="16"/>
              </w:rPr>
            </w:pPr>
            <w:r w:rsidRPr="00D444AB">
              <w:rPr>
                <w:sz w:val="22"/>
                <w:szCs w:val="16"/>
              </w:rPr>
              <w:t>Trezorski zapisi</w:t>
            </w:r>
          </w:p>
        </w:tc>
        <w:tc>
          <w:tcPr>
            <w:tcW w:w="1440" w:type="dxa"/>
            <w:tcBorders>
              <w:top w:val="nil"/>
              <w:left w:val="nil"/>
              <w:bottom w:val="single" w:sz="4" w:space="0" w:color="auto"/>
              <w:right w:val="single" w:sz="4" w:space="0" w:color="auto"/>
            </w:tcBorders>
            <w:shd w:val="clear" w:color="auto" w:fill="auto"/>
            <w:noWrap/>
            <w:vAlign w:val="bottom"/>
            <w:hideMark/>
          </w:tcPr>
          <w:p w14:paraId="65C9BE15" w14:textId="77777777" w:rsidR="00CF3957" w:rsidRPr="00D444AB" w:rsidRDefault="00CF3957" w:rsidP="001E71E3">
            <w:pPr>
              <w:jc w:val="center"/>
              <w:rPr>
                <w:sz w:val="18"/>
                <w:szCs w:val="16"/>
              </w:rPr>
            </w:pPr>
            <w:r w:rsidRPr="00D444AB">
              <w:rPr>
                <w:sz w:val="18"/>
                <w:szCs w:val="16"/>
              </w:rPr>
              <w:t>HRK</w:t>
            </w:r>
          </w:p>
        </w:tc>
        <w:tc>
          <w:tcPr>
            <w:tcW w:w="1600" w:type="dxa"/>
            <w:tcBorders>
              <w:top w:val="nil"/>
              <w:left w:val="nil"/>
              <w:bottom w:val="single" w:sz="4" w:space="0" w:color="auto"/>
              <w:right w:val="single" w:sz="4" w:space="0" w:color="auto"/>
            </w:tcBorders>
            <w:shd w:val="clear" w:color="auto" w:fill="auto"/>
            <w:noWrap/>
            <w:vAlign w:val="bottom"/>
            <w:hideMark/>
          </w:tcPr>
          <w:p w14:paraId="078E1176" w14:textId="77777777" w:rsidR="00CF3957" w:rsidRPr="00D444AB" w:rsidRDefault="00CF3957" w:rsidP="001E71E3">
            <w:pPr>
              <w:jc w:val="right"/>
              <w:rPr>
                <w:sz w:val="18"/>
                <w:szCs w:val="16"/>
              </w:rPr>
            </w:pPr>
            <w:r w:rsidRPr="00D444AB">
              <w:rPr>
                <w:sz w:val="18"/>
                <w:szCs w:val="16"/>
              </w:rPr>
              <w:t>12.395.698.210,00</w:t>
            </w:r>
          </w:p>
        </w:tc>
        <w:tc>
          <w:tcPr>
            <w:tcW w:w="1660" w:type="dxa"/>
            <w:tcBorders>
              <w:top w:val="nil"/>
              <w:left w:val="nil"/>
              <w:bottom w:val="single" w:sz="4" w:space="0" w:color="auto"/>
              <w:right w:val="single" w:sz="4" w:space="0" w:color="auto"/>
            </w:tcBorders>
            <w:shd w:val="clear" w:color="auto" w:fill="auto"/>
            <w:noWrap/>
            <w:vAlign w:val="bottom"/>
            <w:hideMark/>
          </w:tcPr>
          <w:p w14:paraId="70408992" w14:textId="77777777" w:rsidR="00CF3957" w:rsidRPr="00D444AB" w:rsidRDefault="00CF3957" w:rsidP="001E71E3">
            <w:pPr>
              <w:jc w:val="right"/>
              <w:rPr>
                <w:sz w:val="18"/>
                <w:szCs w:val="16"/>
              </w:rPr>
            </w:pPr>
            <w:r w:rsidRPr="00D444AB">
              <w:rPr>
                <w:sz w:val="18"/>
                <w:szCs w:val="16"/>
              </w:rPr>
              <w:t>12.395.698.210,00</w:t>
            </w:r>
          </w:p>
        </w:tc>
      </w:tr>
      <w:tr w:rsidR="00CF3957" w:rsidRPr="008B193A" w14:paraId="7AC82ED1" w14:textId="77777777" w:rsidTr="001E71E3">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D33777" w14:textId="77777777" w:rsidR="00CF3957" w:rsidRPr="00D444AB" w:rsidRDefault="00CF3957" w:rsidP="001E71E3">
            <w:pPr>
              <w:jc w:val="center"/>
              <w:rPr>
                <w:sz w:val="18"/>
                <w:szCs w:val="16"/>
              </w:rPr>
            </w:pPr>
            <w:r w:rsidRPr="00D444AB">
              <w:rPr>
                <w:sz w:val="18"/>
                <w:szCs w:val="16"/>
              </w:rPr>
              <w:t>2.</w:t>
            </w:r>
          </w:p>
        </w:tc>
        <w:tc>
          <w:tcPr>
            <w:tcW w:w="3660" w:type="dxa"/>
            <w:tcBorders>
              <w:top w:val="nil"/>
              <w:left w:val="nil"/>
              <w:bottom w:val="single" w:sz="4" w:space="0" w:color="auto"/>
              <w:right w:val="single" w:sz="4" w:space="0" w:color="auto"/>
            </w:tcBorders>
            <w:shd w:val="clear" w:color="auto" w:fill="auto"/>
            <w:noWrap/>
            <w:vAlign w:val="bottom"/>
            <w:hideMark/>
          </w:tcPr>
          <w:p w14:paraId="3F0388A7" w14:textId="77777777" w:rsidR="00CF3957" w:rsidRPr="00D444AB" w:rsidRDefault="00CF3957" w:rsidP="001E71E3">
            <w:pPr>
              <w:rPr>
                <w:sz w:val="22"/>
                <w:szCs w:val="16"/>
              </w:rPr>
            </w:pPr>
            <w:r w:rsidRPr="00D444AB">
              <w:rPr>
                <w:sz w:val="22"/>
                <w:szCs w:val="16"/>
              </w:rPr>
              <w:t xml:space="preserve">EURO zapisi </w:t>
            </w:r>
          </w:p>
        </w:tc>
        <w:tc>
          <w:tcPr>
            <w:tcW w:w="1440" w:type="dxa"/>
            <w:tcBorders>
              <w:top w:val="nil"/>
              <w:left w:val="nil"/>
              <w:bottom w:val="single" w:sz="4" w:space="0" w:color="auto"/>
              <w:right w:val="single" w:sz="4" w:space="0" w:color="auto"/>
            </w:tcBorders>
            <w:shd w:val="clear" w:color="auto" w:fill="auto"/>
            <w:noWrap/>
            <w:vAlign w:val="bottom"/>
            <w:hideMark/>
          </w:tcPr>
          <w:p w14:paraId="059E3FE5" w14:textId="77777777" w:rsidR="00CF3957" w:rsidRPr="00D444AB" w:rsidRDefault="00CF3957" w:rsidP="001E71E3">
            <w:pPr>
              <w:jc w:val="center"/>
              <w:rPr>
                <w:sz w:val="18"/>
                <w:szCs w:val="16"/>
              </w:rPr>
            </w:pPr>
            <w:r w:rsidRPr="00D444AB">
              <w:rPr>
                <w:sz w:val="18"/>
                <w:szCs w:val="16"/>
              </w:rPr>
              <w:t>EUR</w:t>
            </w:r>
          </w:p>
        </w:tc>
        <w:tc>
          <w:tcPr>
            <w:tcW w:w="1600" w:type="dxa"/>
            <w:tcBorders>
              <w:top w:val="nil"/>
              <w:left w:val="nil"/>
              <w:bottom w:val="single" w:sz="4" w:space="0" w:color="auto"/>
              <w:right w:val="single" w:sz="4" w:space="0" w:color="auto"/>
            </w:tcBorders>
            <w:shd w:val="clear" w:color="auto" w:fill="auto"/>
            <w:noWrap/>
            <w:vAlign w:val="bottom"/>
            <w:hideMark/>
          </w:tcPr>
          <w:p w14:paraId="2305E3C6" w14:textId="77777777" w:rsidR="00CF3957" w:rsidRPr="00D444AB" w:rsidRDefault="00CF3957" w:rsidP="001E71E3">
            <w:pPr>
              <w:jc w:val="right"/>
              <w:rPr>
                <w:sz w:val="18"/>
                <w:szCs w:val="16"/>
              </w:rPr>
            </w:pPr>
            <w:r w:rsidRPr="00D444AB">
              <w:rPr>
                <w:sz w:val="18"/>
                <w:szCs w:val="16"/>
              </w:rPr>
              <w:t>17.500.000,00</w:t>
            </w:r>
          </w:p>
        </w:tc>
        <w:tc>
          <w:tcPr>
            <w:tcW w:w="1660" w:type="dxa"/>
            <w:tcBorders>
              <w:top w:val="nil"/>
              <w:left w:val="nil"/>
              <w:bottom w:val="single" w:sz="4" w:space="0" w:color="auto"/>
              <w:right w:val="single" w:sz="4" w:space="0" w:color="auto"/>
            </w:tcBorders>
            <w:shd w:val="clear" w:color="auto" w:fill="auto"/>
            <w:noWrap/>
            <w:vAlign w:val="bottom"/>
            <w:hideMark/>
          </w:tcPr>
          <w:p w14:paraId="33FFE385" w14:textId="77777777" w:rsidR="00CF3957" w:rsidRPr="00D444AB" w:rsidRDefault="00CF3957" w:rsidP="001E71E3">
            <w:pPr>
              <w:jc w:val="right"/>
              <w:rPr>
                <w:sz w:val="18"/>
                <w:szCs w:val="16"/>
              </w:rPr>
            </w:pPr>
            <w:r w:rsidRPr="00D444AB">
              <w:rPr>
                <w:sz w:val="18"/>
                <w:szCs w:val="16"/>
              </w:rPr>
              <w:t>131.853.750,00</w:t>
            </w:r>
          </w:p>
        </w:tc>
      </w:tr>
      <w:tr w:rsidR="00CF3957" w:rsidRPr="008B193A" w14:paraId="401A61B0" w14:textId="77777777" w:rsidTr="001E71E3">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B90F65" w14:textId="77777777" w:rsidR="00CF3957" w:rsidRPr="00D444AB" w:rsidRDefault="00CF3957" w:rsidP="001E71E3">
            <w:pPr>
              <w:jc w:val="center"/>
              <w:rPr>
                <w:sz w:val="18"/>
                <w:szCs w:val="16"/>
              </w:rPr>
            </w:pPr>
            <w:r w:rsidRPr="00D444AB">
              <w:rPr>
                <w:sz w:val="18"/>
                <w:szCs w:val="16"/>
              </w:rPr>
              <w:t>3.</w:t>
            </w:r>
          </w:p>
        </w:tc>
        <w:tc>
          <w:tcPr>
            <w:tcW w:w="3660" w:type="dxa"/>
            <w:tcBorders>
              <w:top w:val="nil"/>
              <w:left w:val="nil"/>
              <w:bottom w:val="single" w:sz="4" w:space="0" w:color="auto"/>
              <w:right w:val="single" w:sz="4" w:space="0" w:color="auto"/>
            </w:tcBorders>
            <w:shd w:val="clear" w:color="auto" w:fill="auto"/>
            <w:noWrap/>
            <w:vAlign w:val="bottom"/>
            <w:hideMark/>
          </w:tcPr>
          <w:p w14:paraId="12907F1E" w14:textId="77777777" w:rsidR="00CF3957" w:rsidRPr="00D444AB" w:rsidRDefault="00CF3957" w:rsidP="001E71E3">
            <w:pPr>
              <w:rPr>
                <w:sz w:val="22"/>
                <w:szCs w:val="16"/>
              </w:rPr>
            </w:pPr>
            <w:r w:rsidRPr="00D444AB">
              <w:rPr>
                <w:sz w:val="22"/>
                <w:szCs w:val="16"/>
              </w:rPr>
              <w:t>EURO FX zapisi</w:t>
            </w:r>
          </w:p>
        </w:tc>
        <w:tc>
          <w:tcPr>
            <w:tcW w:w="1440" w:type="dxa"/>
            <w:tcBorders>
              <w:top w:val="nil"/>
              <w:left w:val="nil"/>
              <w:bottom w:val="single" w:sz="4" w:space="0" w:color="auto"/>
              <w:right w:val="single" w:sz="4" w:space="0" w:color="auto"/>
            </w:tcBorders>
            <w:shd w:val="clear" w:color="auto" w:fill="auto"/>
            <w:noWrap/>
            <w:vAlign w:val="bottom"/>
            <w:hideMark/>
          </w:tcPr>
          <w:p w14:paraId="4C696B41" w14:textId="77777777" w:rsidR="00CF3957" w:rsidRPr="00D444AB" w:rsidRDefault="00CF3957" w:rsidP="001E71E3">
            <w:pPr>
              <w:jc w:val="center"/>
              <w:rPr>
                <w:sz w:val="18"/>
                <w:szCs w:val="16"/>
              </w:rPr>
            </w:pPr>
            <w:r w:rsidRPr="00D444AB">
              <w:rPr>
                <w:sz w:val="18"/>
                <w:szCs w:val="16"/>
              </w:rPr>
              <w:t>EUR</w:t>
            </w:r>
          </w:p>
        </w:tc>
        <w:tc>
          <w:tcPr>
            <w:tcW w:w="1600" w:type="dxa"/>
            <w:tcBorders>
              <w:top w:val="nil"/>
              <w:left w:val="nil"/>
              <w:bottom w:val="single" w:sz="4" w:space="0" w:color="auto"/>
              <w:right w:val="single" w:sz="4" w:space="0" w:color="auto"/>
            </w:tcBorders>
            <w:shd w:val="clear" w:color="auto" w:fill="auto"/>
            <w:noWrap/>
            <w:vAlign w:val="bottom"/>
            <w:hideMark/>
          </w:tcPr>
          <w:p w14:paraId="03446FCA" w14:textId="77777777" w:rsidR="00CF3957" w:rsidRPr="00D444AB" w:rsidRDefault="00CF3957" w:rsidP="001E71E3">
            <w:pPr>
              <w:jc w:val="right"/>
              <w:rPr>
                <w:sz w:val="18"/>
                <w:szCs w:val="16"/>
              </w:rPr>
            </w:pPr>
            <w:r w:rsidRPr="00D444AB">
              <w:rPr>
                <w:sz w:val="18"/>
                <w:szCs w:val="16"/>
              </w:rPr>
              <w:t>1.034.341.714,38</w:t>
            </w:r>
          </w:p>
        </w:tc>
        <w:tc>
          <w:tcPr>
            <w:tcW w:w="1660" w:type="dxa"/>
            <w:tcBorders>
              <w:top w:val="nil"/>
              <w:left w:val="nil"/>
              <w:bottom w:val="single" w:sz="4" w:space="0" w:color="auto"/>
              <w:right w:val="single" w:sz="4" w:space="0" w:color="auto"/>
            </w:tcBorders>
            <w:shd w:val="clear" w:color="auto" w:fill="auto"/>
            <w:noWrap/>
            <w:vAlign w:val="bottom"/>
            <w:hideMark/>
          </w:tcPr>
          <w:p w14:paraId="73813D52" w14:textId="77777777" w:rsidR="00CF3957" w:rsidRPr="00D444AB" w:rsidRDefault="00CF3957" w:rsidP="001E71E3">
            <w:pPr>
              <w:jc w:val="right"/>
              <w:rPr>
                <w:sz w:val="18"/>
                <w:szCs w:val="16"/>
              </w:rPr>
            </w:pPr>
            <w:r w:rsidRPr="00D444AB">
              <w:rPr>
                <w:sz w:val="18"/>
                <w:szCs w:val="16"/>
              </w:rPr>
              <w:t>7.793.247.647,00</w:t>
            </w:r>
          </w:p>
        </w:tc>
      </w:tr>
      <w:tr w:rsidR="00CF3957" w:rsidRPr="008B193A" w14:paraId="0B622873" w14:textId="77777777" w:rsidTr="001E71E3">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60E6" w14:textId="77777777" w:rsidR="00CF3957" w:rsidRPr="00D444AB" w:rsidRDefault="00CF3957" w:rsidP="001E71E3">
            <w:pPr>
              <w:jc w:val="center"/>
              <w:rPr>
                <w:sz w:val="18"/>
                <w:szCs w:val="16"/>
              </w:rPr>
            </w:pPr>
            <w:r w:rsidRPr="00D444AB">
              <w:rPr>
                <w:sz w:val="18"/>
                <w:szCs w:val="16"/>
              </w:rPr>
              <w:t> </w:t>
            </w:r>
          </w:p>
        </w:tc>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C27BA" w14:textId="77777777" w:rsidR="00CF3957" w:rsidRPr="00D444AB" w:rsidRDefault="00CF3957" w:rsidP="001E71E3">
            <w:pPr>
              <w:rPr>
                <w:b/>
                <w:bCs/>
                <w:sz w:val="18"/>
                <w:szCs w:val="16"/>
              </w:rPr>
            </w:pPr>
            <w:r w:rsidRPr="00D444AB">
              <w:rPr>
                <w:b/>
                <w:bCs/>
                <w:sz w:val="18"/>
                <w:szCs w:val="16"/>
              </w:rPr>
              <w:t>U</w:t>
            </w:r>
            <w:r>
              <w:rPr>
                <w:b/>
                <w:bCs/>
                <w:sz w:val="18"/>
                <w:szCs w:val="16"/>
              </w:rPr>
              <w:t>KUPNO</w:t>
            </w:r>
            <w:r w:rsidRPr="00D444AB">
              <w:rPr>
                <w:b/>
                <w:bCs/>
                <w:sz w:val="18"/>
                <w:szCs w:val="16"/>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CF20C" w14:textId="77777777" w:rsidR="00CF3957" w:rsidRPr="00D444AB" w:rsidRDefault="00CF3957" w:rsidP="001E71E3">
            <w:pPr>
              <w:jc w:val="center"/>
              <w:rPr>
                <w:b/>
                <w:bCs/>
                <w:sz w:val="18"/>
                <w:szCs w:val="16"/>
              </w:rPr>
            </w:pPr>
            <w:r w:rsidRPr="00D444AB">
              <w:rPr>
                <w:b/>
                <w:bCs/>
                <w:sz w:val="18"/>
                <w:szCs w:val="16"/>
              </w:rPr>
              <w:t>HRK</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E8A5B" w14:textId="77777777" w:rsidR="00CF3957" w:rsidRPr="00D444AB" w:rsidRDefault="00CF3957" w:rsidP="001E71E3">
            <w:pPr>
              <w:rPr>
                <w:b/>
                <w:bCs/>
                <w:sz w:val="18"/>
                <w:szCs w:val="16"/>
              </w:rPr>
            </w:pPr>
            <w:r w:rsidRPr="00D444AB">
              <w:rPr>
                <w:b/>
                <w:bCs/>
                <w:sz w:val="18"/>
                <w:szCs w:val="16"/>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E9049" w14:textId="77777777" w:rsidR="00CF3957" w:rsidRPr="00D444AB" w:rsidRDefault="00CF3957" w:rsidP="001E71E3">
            <w:pPr>
              <w:jc w:val="right"/>
              <w:rPr>
                <w:b/>
                <w:bCs/>
                <w:sz w:val="18"/>
                <w:szCs w:val="16"/>
              </w:rPr>
            </w:pPr>
            <w:r w:rsidRPr="00D444AB">
              <w:rPr>
                <w:b/>
                <w:bCs/>
                <w:sz w:val="18"/>
                <w:szCs w:val="16"/>
              </w:rPr>
              <w:t>20.320.799.607,00</w:t>
            </w:r>
          </w:p>
        </w:tc>
      </w:tr>
    </w:tbl>
    <w:p w14:paraId="4FB674DB" w14:textId="77777777" w:rsidR="00CF3957" w:rsidRDefault="00CF3957" w:rsidP="00CF3957">
      <w:pPr>
        <w:rPr>
          <w:b/>
        </w:rPr>
      </w:pPr>
    </w:p>
    <w:p w14:paraId="25ADCE6D" w14:textId="77777777" w:rsidR="00CF3957" w:rsidRPr="00975887" w:rsidRDefault="00CF3957" w:rsidP="00CF3957">
      <w:pPr>
        <w:spacing w:before="120" w:after="120"/>
        <w:jc w:val="both"/>
      </w:pPr>
      <w:r w:rsidRPr="00975887">
        <w:t xml:space="preserve">Ministarstvo financija provodi aukcije trezorskih zapisa u skladu s Pravilima i uvjetima aukcija trezorskih zapisa, koristeći se elektroničkim aukcijskim sustavom </w:t>
      </w:r>
      <w:proofErr w:type="spellStart"/>
      <w:r w:rsidRPr="00975887">
        <w:t>Bloomberg</w:t>
      </w:r>
      <w:proofErr w:type="spellEnd"/>
      <w:r w:rsidRPr="00975887">
        <w:t xml:space="preserve"> (BAS).</w:t>
      </w:r>
    </w:p>
    <w:p w14:paraId="17D4EF69" w14:textId="77777777" w:rsidR="00CF3957" w:rsidRDefault="00CF3957" w:rsidP="00CF3957">
      <w:pPr>
        <w:spacing w:before="120" w:after="120"/>
        <w:jc w:val="both"/>
      </w:pPr>
      <w:r w:rsidRPr="00975887">
        <w:t>Tijekom 20</w:t>
      </w:r>
      <w:r>
        <w:t>22</w:t>
      </w:r>
      <w:r w:rsidRPr="00975887">
        <w:t>. godine održano je 1</w:t>
      </w:r>
      <w:r>
        <w:t>6</w:t>
      </w:r>
      <w:r w:rsidRPr="00975887">
        <w:t xml:space="preserve"> aukcija trezorskih zapisa na kojima je bilo ukupno </w:t>
      </w:r>
      <w:r>
        <w:t>21 izdanje</w:t>
      </w:r>
      <w:r w:rsidRPr="00975887">
        <w:t>, od čega 1</w:t>
      </w:r>
      <w:r>
        <w:t>8</w:t>
      </w:r>
      <w:r w:rsidRPr="00975887">
        <w:t xml:space="preserve"> kunskih izdanja, 2 izdanja trezorskih zapisa izraženih u eurima, a plativih u kunama te 1 izdanje </w:t>
      </w:r>
      <w:r>
        <w:t xml:space="preserve">FX </w:t>
      </w:r>
      <w:r w:rsidRPr="00975887">
        <w:t>trezorskih</w:t>
      </w:r>
      <w:r>
        <w:t xml:space="preserve"> zapisa, </w:t>
      </w:r>
      <w:r w:rsidRPr="00975887">
        <w:t xml:space="preserve">izraženih i plativih u eurima. </w:t>
      </w:r>
      <w:r>
        <w:t>Kod kunskih izdanja trezorskih zapisa 2 izdanja su bila s rokom dospijeća od 91 dan, 4 izdanja s rokom dospijeća od 182 dana te 12 izdanja s rokom dospijeća od 364 dana.</w:t>
      </w:r>
    </w:p>
    <w:p w14:paraId="5EF15161" w14:textId="77777777" w:rsidR="00CF3957" w:rsidRDefault="00CF3957" w:rsidP="00CF3957">
      <w:pPr>
        <w:spacing w:before="120" w:after="120"/>
        <w:jc w:val="both"/>
      </w:pPr>
      <w:r>
        <w:t>N</w:t>
      </w:r>
      <w:r w:rsidRPr="00975887">
        <w:t>a aukcijama trezorskih zapisa izdano je ukupno 1</w:t>
      </w:r>
      <w:r>
        <w:t>3</w:t>
      </w:r>
      <w:r w:rsidRPr="00975887">
        <w:t>,</w:t>
      </w:r>
      <w:r>
        <w:t>087</w:t>
      </w:r>
      <w:r w:rsidRPr="00975887">
        <w:t xml:space="preserve"> milijardi kuna, 1</w:t>
      </w:r>
      <w:r>
        <w:t>7,5</w:t>
      </w:r>
      <w:r w:rsidRPr="00975887">
        <w:t xml:space="preserve"> milijuna eura (plativih u kunama) i 1,</w:t>
      </w:r>
      <w:r>
        <w:t>2</w:t>
      </w:r>
      <w:r w:rsidRPr="00975887">
        <w:t xml:space="preserve"> milijardi eura </w:t>
      </w:r>
      <w:r>
        <w:t>FX</w:t>
      </w:r>
      <w:r w:rsidRPr="00975887">
        <w:t xml:space="preserve"> trezorskih zapisa</w:t>
      </w:r>
      <w:r>
        <w:t xml:space="preserve"> (plativih u eurima)</w:t>
      </w:r>
      <w:r w:rsidRPr="00975887">
        <w:t>. Istodobno je iskupljeno 1</w:t>
      </w:r>
      <w:r>
        <w:t>3</w:t>
      </w:r>
      <w:r w:rsidRPr="00975887">
        <w:t>,</w:t>
      </w:r>
      <w:r>
        <w:t>681</w:t>
      </w:r>
      <w:r w:rsidRPr="00975887">
        <w:t xml:space="preserve"> milijardi kuna, 1</w:t>
      </w:r>
      <w:r>
        <w:t>71</w:t>
      </w:r>
      <w:r w:rsidRPr="00975887">
        <w:t xml:space="preserve"> milijuna eura (plativih u kunama) i 1,</w:t>
      </w:r>
      <w:r>
        <w:t>2</w:t>
      </w:r>
      <w:r w:rsidRPr="00975887">
        <w:t xml:space="preserve"> milijardi eura</w:t>
      </w:r>
      <w:r>
        <w:t xml:space="preserve"> FX </w:t>
      </w:r>
      <w:r w:rsidRPr="00975887">
        <w:t>trezorskih zapisa</w:t>
      </w:r>
      <w:r>
        <w:t xml:space="preserve"> </w:t>
      </w:r>
      <w:r w:rsidRPr="00975887">
        <w:t xml:space="preserve">(plativih u eurima). </w:t>
      </w:r>
    </w:p>
    <w:p w14:paraId="6ACBE5F4" w14:textId="77777777" w:rsidR="00CF3957" w:rsidRPr="00975887" w:rsidRDefault="00CF3957" w:rsidP="00CF3957">
      <w:pPr>
        <w:spacing w:before="120" w:after="120"/>
        <w:jc w:val="both"/>
      </w:pPr>
      <w:r w:rsidRPr="00975887">
        <w:t>Potkraj 202</w:t>
      </w:r>
      <w:r>
        <w:t>2</w:t>
      </w:r>
      <w:r w:rsidRPr="00975887">
        <w:t>. godine kamatn</w:t>
      </w:r>
      <w:r>
        <w:t>e stope</w:t>
      </w:r>
      <w:r w:rsidRPr="00975887">
        <w:t xml:space="preserve"> na trezorske zapise u kunama s rokom </w:t>
      </w:r>
      <w:r>
        <w:t xml:space="preserve">dospijeća </w:t>
      </w:r>
      <w:r w:rsidRPr="00975887">
        <w:t>od 364 dana iznosile su 0,</w:t>
      </w:r>
      <w:r>
        <w:t>2</w:t>
      </w:r>
      <w:r w:rsidRPr="00975887">
        <w:t xml:space="preserve">0% </w:t>
      </w:r>
      <w:r>
        <w:t>. K</w:t>
      </w:r>
      <w:r w:rsidRPr="00975887">
        <w:t>amatne stope na trezorske zapise s valutnom klauzulom s rokom</w:t>
      </w:r>
      <w:r>
        <w:t xml:space="preserve"> dospijeća</w:t>
      </w:r>
      <w:r w:rsidRPr="00975887">
        <w:t xml:space="preserve"> od 364 dan</w:t>
      </w:r>
      <w:r>
        <w:t>a izn</w:t>
      </w:r>
      <w:r w:rsidRPr="00975887">
        <w:t>osile</w:t>
      </w:r>
      <w:r>
        <w:t xml:space="preserve"> su</w:t>
      </w:r>
      <w:r w:rsidRPr="00975887">
        <w:t xml:space="preserve"> -0,</w:t>
      </w:r>
      <w:r>
        <w:t>05%, a kamatna stopa</w:t>
      </w:r>
      <w:r w:rsidRPr="00975887">
        <w:t xml:space="preserve"> na eur</w:t>
      </w:r>
      <w:r>
        <w:t>o FX</w:t>
      </w:r>
      <w:r w:rsidRPr="00975887">
        <w:t xml:space="preserve"> tre</w:t>
      </w:r>
      <w:r>
        <w:t xml:space="preserve">zorske zapise s rokom dospijeća od 364 dana </w:t>
      </w:r>
      <w:r w:rsidRPr="00975887">
        <w:t>0,</w:t>
      </w:r>
      <w:r>
        <w:t>10%</w:t>
      </w:r>
      <w:r w:rsidRPr="00975887">
        <w:t>.</w:t>
      </w:r>
    </w:p>
    <w:p w14:paraId="2B41BB2D" w14:textId="77777777" w:rsidR="00CF3957" w:rsidRPr="003B30B6" w:rsidRDefault="00CF3957" w:rsidP="00CF3957">
      <w:pPr>
        <w:jc w:val="both"/>
      </w:pPr>
    </w:p>
    <w:p w14:paraId="13B678CE" w14:textId="77777777" w:rsidR="00CF3957" w:rsidRPr="00C85DCC" w:rsidRDefault="00CF3957" w:rsidP="00CF3957">
      <w:pPr>
        <w:jc w:val="center"/>
        <w:rPr>
          <w:sz w:val="28"/>
        </w:rPr>
      </w:pPr>
      <w:r>
        <w:rPr>
          <w:sz w:val="28"/>
        </w:rPr>
        <w:t>Bilješka 21</w:t>
      </w:r>
      <w:r w:rsidRPr="00C85DCC">
        <w:rPr>
          <w:sz w:val="28"/>
        </w:rPr>
        <w:t>.</w:t>
      </w:r>
    </w:p>
    <w:p w14:paraId="5A4526F0" w14:textId="77777777" w:rsidR="00CF3957" w:rsidRPr="00D42A73" w:rsidRDefault="00CF3957" w:rsidP="00CF3957">
      <w:pPr>
        <w:jc w:val="center"/>
        <w:rPr>
          <w:sz w:val="28"/>
        </w:rPr>
      </w:pPr>
      <w:r>
        <w:rPr>
          <w:bCs/>
          <w:sz w:val="28"/>
        </w:rPr>
        <w:t>Šifra 2541</w:t>
      </w:r>
      <w:r w:rsidRPr="00D42A73">
        <w:rPr>
          <w:bCs/>
          <w:sz w:val="28"/>
        </w:rPr>
        <w:t xml:space="preserve"> Obveza za obveznice </w:t>
      </w:r>
      <w:r w:rsidRPr="00192524">
        <w:rPr>
          <w:bCs/>
          <w:sz w:val="28"/>
        </w:rPr>
        <w:t>- tuzemne</w:t>
      </w:r>
    </w:p>
    <w:p w14:paraId="29F3B68E" w14:textId="77777777" w:rsidR="00CF3957" w:rsidRDefault="00CF3957" w:rsidP="00CF3957">
      <w:pPr>
        <w:jc w:val="both"/>
      </w:pPr>
    </w:p>
    <w:p w14:paraId="05AF389C" w14:textId="77777777" w:rsidR="00CF3957" w:rsidRDefault="00CF3957" w:rsidP="00CF3957">
      <w:pPr>
        <w:jc w:val="both"/>
      </w:pPr>
      <w:r w:rsidRPr="00D42A73">
        <w:t xml:space="preserve">Iznos od </w:t>
      </w:r>
      <w:r>
        <w:t>123.889.152.500</w:t>
      </w:r>
      <w:r w:rsidRPr="00D42A73">
        <w:rPr>
          <w:bCs/>
        </w:rPr>
        <w:t xml:space="preserve"> kuna </w:t>
      </w:r>
      <w:r w:rsidRPr="00D42A73">
        <w:t>odnosi se na obvezu za sve tuzemne obveznice izdane do 31. prosinca 202</w:t>
      </w:r>
      <w:r>
        <w:t>2</w:t>
      </w:r>
      <w:r w:rsidRPr="00D42A73">
        <w:t xml:space="preserve">. </w:t>
      </w:r>
      <w:r>
        <w:t>godine.</w:t>
      </w:r>
    </w:p>
    <w:p w14:paraId="2E1B760A" w14:textId="77777777" w:rsidR="00CF3957" w:rsidRDefault="00CF3957" w:rsidP="00CF3957">
      <w:pPr>
        <w:jc w:val="both"/>
      </w:pPr>
    </w:p>
    <w:p w14:paraId="6E8C2E67" w14:textId="77777777" w:rsidR="00CF3957" w:rsidRDefault="00CF3957" w:rsidP="00CF3957">
      <w:pPr>
        <w:jc w:val="both"/>
      </w:pPr>
      <w:r>
        <w:t>U Tablici 8</w:t>
      </w:r>
      <w:r w:rsidRPr="00D42A73">
        <w:t xml:space="preserve">. dan je prikaz </w:t>
      </w:r>
      <w:r>
        <w:t>obveza po aktivnim</w:t>
      </w:r>
      <w:r w:rsidRPr="00D42A73">
        <w:t xml:space="preserve"> obveznica</w:t>
      </w:r>
      <w:r>
        <w:t>ma izdanima</w:t>
      </w:r>
      <w:r w:rsidRPr="00D42A73">
        <w:t xml:space="preserve"> na domaćem tržištu kapitala na dan 31. prosinca 202</w:t>
      </w:r>
      <w:r>
        <w:t>2</w:t>
      </w:r>
      <w:r w:rsidRPr="00D42A73">
        <w:t>.</w:t>
      </w:r>
      <w:r>
        <w:t xml:space="preserve"> godine.</w:t>
      </w:r>
    </w:p>
    <w:p w14:paraId="12DD1E48" w14:textId="77777777" w:rsidR="00CF3957" w:rsidRDefault="00CF3957" w:rsidP="00CF3957">
      <w:pPr>
        <w:jc w:val="both"/>
      </w:pPr>
    </w:p>
    <w:p w14:paraId="47DF632F" w14:textId="77777777" w:rsidR="00CF3957" w:rsidRPr="00600E4F" w:rsidRDefault="00CF3957" w:rsidP="00CF3957">
      <w:pPr>
        <w:keepNext/>
        <w:jc w:val="both"/>
        <w:rPr>
          <w:b/>
          <w:sz w:val="18"/>
          <w:szCs w:val="18"/>
        </w:rPr>
      </w:pPr>
      <w:r w:rsidRPr="00600E4F">
        <w:rPr>
          <w:b/>
          <w:sz w:val="18"/>
          <w:szCs w:val="18"/>
        </w:rPr>
        <w:lastRenderedPageBreak/>
        <w:t>Tablica 8.</w:t>
      </w:r>
    </w:p>
    <w:tbl>
      <w:tblPr>
        <w:tblW w:w="9387" w:type="dxa"/>
        <w:tblLook w:val="04A0" w:firstRow="1" w:lastRow="0" w:firstColumn="1" w:lastColumn="0" w:noHBand="0" w:noVBand="1"/>
      </w:tblPr>
      <w:tblGrid>
        <w:gridCol w:w="704"/>
        <w:gridCol w:w="4138"/>
        <w:gridCol w:w="965"/>
        <w:gridCol w:w="1700"/>
        <w:gridCol w:w="1880"/>
      </w:tblGrid>
      <w:tr w:rsidR="00CF3957" w:rsidRPr="008F1593" w14:paraId="2A44E224" w14:textId="77777777" w:rsidTr="001E71E3">
        <w:trPr>
          <w:trHeight w:val="79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CD04C" w14:textId="77777777" w:rsidR="00CF3957" w:rsidRPr="008F1593" w:rsidRDefault="00CF3957" w:rsidP="001E71E3">
            <w:pPr>
              <w:keepNext/>
              <w:jc w:val="center"/>
              <w:rPr>
                <w:b/>
                <w:bCs/>
                <w:sz w:val="16"/>
                <w:szCs w:val="16"/>
              </w:rPr>
            </w:pPr>
            <w:r w:rsidRPr="008F1593">
              <w:rPr>
                <w:b/>
                <w:bCs/>
                <w:sz w:val="16"/>
                <w:szCs w:val="16"/>
              </w:rPr>
              <w:t>Red. broj</w:t>
            </w:r>
          </w:p>
        </w:tc>
        <w:tc>
          <w:tcPr>
            <w:tcW w:w="4138" w:type="dxa"/>
            <w:tcBorders>
              <w:top w:val="single" w:sz="4" w:space="0" w:color="auto"/>
              <w:left w:val="nil"/>
              <w:bottom w:val="single" w:sz="4" w:space="0" w:color="auto"/>
              <w:right w:val="single" w:sz="4" w:space="0" w:color="auto"/>
            </w:tcBorders>
            <w:shd w:val="clear" w:color="auto" w:fill="auto"/>
            <w:noWrap/>
            <w:vAlign w:val="center"/>
            <w:hideMark/>
          </w:tcPr>
          <w:p w14:paraId="1AFFE5BA" w14:textId="77777777" w:rsidR="00CF3957" w:rsidRPr="008F1593" w:rsidRDefault="00CF3957" w:rsidP="001E71E3">
            <w:pPr>
              <w:keepNext/>
              <w:jc w:val="center"/>
              <w:rPr>
                <w:b/>
                <w:bCs/>
                <w:sz w:val="16"/>
                <w:szCs w:val="16"/>
              </w:rPr>
            </w:pPr>
            <w:r w:rsidRPr="008F1593">
              <w:rPr>
                <w:b/>
                <w:bCs/>
                <w:sz w:val="16"/>
                <w:szCs w:val="16"/>
              </w:rPr>
              <w:t>Naziv</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661CDC8C" w14:textId="77777777" w:rsidR="00CF3957" w:rsidRPr="008F1593" w:rsidRDefault="00CF3957" w:rsidP="001E71E3">
            <w:pPr>
              <w:keepNext/>
              <w:jc w:val="center"/>
              <w:rPr>
                <w:b/>
                <w:bCs/>
                <w:sz w:val="16"/>
                <w:szCs w:val="16"/>
              </w:rPr>
            </w:pPr>
            <w:r w:rsidRPr="008F1593">
              <w:rPr>
                <w:b/>
                <w:bCs/>
                <w:sz w:val="16"/>
                <w:szCs w:val="16"/>
              </w:rPr>
              <w:t>Valuta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C45C7BD" w14:textId="77777777" w:rsidR="00CF3957" w:rsidRPr="008F1593" w:rsidRDefault="00CF3957" w:rsidP="001E71E3">
            <w:pPr>
              <w:keepNext/>
              <w:jc w:val="center"/>
              <w:rPr>
                <w:b/>
                <w:bCs/>
                <w:sz w:val="16"/>
                <w:szCs w:val="16"/>
              </w:rPr>
            </w:pPr>
            <w:r w:rsidRPr="008F1593">
              <w:rPr>
                <w:b/>
                <w:bCs/>
                <w:sz w:val="16"/>
                <w:szCs w:val="16"/>
              </w:rPr>
              <w:t>Stanje obveza na dan 31.12.2022. (</w:t>
            </w:r>
            <w:proofErr w:type="spellStart"/>
            <w:r w:rsidRPr="008F1593">
              <w:rPr>
                <w:b/>
                <w:bCs/>
                <w:sz w:val="16"/>
                <w:szCs w:val="16"/>
              </w:rPr>
              <w:t>org.val</w:t>
            </w:r>
            <w:proofErr w:type="spellEnd"/>
            <w:r w:rsidRPr="008F1593">
              <w:rPr>
                <w:b/>
                <w:bCs/>
                <w:sz w:val="16"/>
                <w:szCs w:val="16"/>
              </w:rPr>
              <w: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C0C988C" w14:textId="77777777" w:rsidR="00CF3957" w:rsidRPr="008F1593" w:rsidRDefault="00CF3957" w:rsidP="001E71E3">
            <w:pPr>
              <w:keepNext/>
              <w:jc w:val="center"/>
              <w:rPr>
                <w:b/>
                <w:bCs/>
                <w:sz w:val="16"/>
                <w:szCs w:val="16"/>
              </w:rPr>
            </w:pPr>
            <w:r w:rsidRPr="008F1593">
              <w:rPr>
                <w:b/>
                <w:bCs/>
                <w:sz w:val="16"/>
                <w:szCs w:val="16"/>
              </w:rPr>
              <w:t>Stanje obveza na 31.12.2022. u kunama</w:t>
            </w:r>
          </w:p>
        </w:tc>
      </w:tr>
      <w:tr w:rsidR="00CF3957" w:rsidRPr="008F1593" w14:paraId="0DD75E26"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A44A28" w14:textId="77777777" w:rsidR="00CF3957" w:rsidRPr="008F1593" w:rsidRDefault="00CF3957" w:rsidP="001E71E3">
            <w:pPr>
              <w:keepNext/>
              <w:jc w:val="center"/>
              <w:rPr>
                <w:sz w:val="16"/>
                <w:szCs w:val="16"/>
              </w:rPr>
            </w:pPr>
            <w:r w:rsidRPr="008F1593">
              <w:rPr>
                <w:sz w:val="16"/>
                <w:szCs w:val="16"/>
              </w:rPr>
              <w:t>1.</w:t>
            </w:r>
          </w:p>
        </w:tc>
        <w:tc>
          <w:tcPr>
            <w:tcW w:w="4138" w:type="dxa"/>
            <w:tcBorders>
              <w:top w:val="nil"/>
              <w:left w:val="nil"/>
              <w:bottom w:val="nil"/>
              <w:right w:val="single" w:sz="4" w:space="0" w:color="auto"/>
            </w:tcBorders>
            <w:shd w:val="clear" w:color="auto" w:fill="auto"/>
            <w:noWrap/>
            <w:vAlign w:val="bottom"/>
            <w:hideMark/>
          </w:tcPr>
          <w:p w14:paraId="4CBDBA85" w14:textId="77777777" w:rsidR="00CF3957" w:rsidRPr="008F1593" w:rsidRDefault="00CF3957" w:rsidP="001E71E3">
            <w:pPr>
              <w:keepNext/>
              <w:rPr>
                <w:sz w:val="16"/>
                <w:szCs w:val="16"/>
              </w:rPr>
            </w:pPr>
            <w:r w:rsidRPr="008F1593">
              <w:rPr>
                <w:sz w:val="16"/>
                <w:szCs w:val="16"/>
              </w:rPr>
              <w:t>Obveznice - Serija 19 D-24, 247E</w:t>
            </w:r>
          </w:p>
        </w:tc>
        <w:tc>
          <w:tcPr>
            <w:tcW w:w="965" w:type="dxa"/>
            <w:tcBorders>
              <w:top w:val="nil"/>
              <w:left w:val="nil"/>
              <w:bottom w:val="nil"/>
              <w:right w:val="single" w:sz="4" w:space="0" w:color="auto"/>
            </w:tcBorders>
            <w:shd w:val="clear" w:color="auto" w:fill="auto"/>
            <w:noWrap/>
            <w:vAlign w:val="bottom"/>
            <w:hideMark/>
          </w:tcPr>
          <w:p w14:paraId="25A95FED" w14:textId="77777777" w:rsidR="00CF3957" w:rsidRPr="008F1593" w:rsidRDefault="00CF3957" w:rsidP="001E71E3">
            <w:pPr>
              <w:keepNext/>
              <w:jc w:val="center"/>
              <w:rPr>
                <w:sz w:val="16"/>
                <w:szCs w:val="16"/>
              </w:rPr>
            </w:pPr>
            <w:r w:rsidRPr="008F1593">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6DD1D83E" w14:textId="77777777" w:rsidR="00CF3957" w:rsidRPr="008F1593" w:rsidRDefault="00CF3957" w:rsidP="001E71E3">
            <w:pPr>
              <w:keepNext/>
              <w:jc w:val="right"/>
              <w:rPr>
                <w:sz w:val="16"/>
                <w:szCs w:val="16"/>
              </w:rPr>
            </w:pPr>
            <w:r w:rsidRPr="008F1593">
              <w:rPr>
                <w:sz w:val="16"/>
                <w:szCs w:val="16"/>
              </w:rPr>
              <w:t>1.400.000.000,00</w:t>
            </w:r>
          </w:p>
        </w:tc>
        <w:tc>
          <w:tcPr>
            <w:tcW w:w="1880" w:type="dxa"/>
            <w:tcBorders>
              <w:top w:val="nil"/>
              <w:left w:val="nil"/>
              <w:bottom w:val="single" w:sz="4" w:space="0" w:color="auto"/>
              <w:right w:val="single" w:sz="4" w:space="0" w:color="auto"/>
            </w:tcBorders>
            <w:shd w:val="clear" w:color="auto" w:fill="auto"/>
            <w:noWrap/>
            <w:vAlign w:val="bottom"/>
            <w:hideMark/>
          </w:tcPr>
          <w:p w14:paraId="2661B7DD" w14:textId="77777777" w:rsidR="00CF3957" w:rsidRPr="008F1593" w:rsidRDefault="00CF3957" w:rsidP="001E71E3">
            <w:pPr>
              <w:keepNext/>
              <w:jc w:val="right"/>
              <w:rPr>
                <w:sz w:val="16"/>
                <w:szCs w:val="16"/>
              </w:rPr>
            </w:pPr>
            <w:r w:rsidRPr="008F1593">
              <w:rPr>
                <w:sz w:val="16"/>
                <w:szCs w:val="16"/>
              </w:rPr>
              <w:t>10.548.300.000,00</w:t>
            </w:r>
          </w:p>
        </w:tc>
      </w:tr>
      <w:tr w:rsidR="00CF3957" w:rsidRPr="008F1593" w14:paraId="44551B1F"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438883" w14:textId="77777777" w:rsidR="00CF3957" w:rsidRPr="008F1593" w:rsidRDefault="00CF3957" w:rsidP="001E71E3">
            <w:pPr>
              <w:keepNext/>
              <w:jc w:val="center"/>
              <w:rPr>
                <w:sz w:val="16"/>
                <w:szCs w:val="16"/>
              </w:rPr>
            </w:pPr>
            <w:r w:rsidRPr="008F1593">
              <w:rPr>
                <w:sz w:val="16"/>
                <w:szCs w:val="16"/>
              </w:rPr>
              <w:t>2.</w:t>
            </w:r>
          </w:p>
        </w:tc>
        <w:tc>
          <w:tcPr>
            <w:tcW w:w="4138" w:type="dxa"/>
            <w:tcBorders>
              <w:top w:val="single" w:sz="4" w:space="0" w:color="auto"/>
              <w:left w:val="nil"/>
              <w:bottom w:val="nil"/>
              <w:right w:val="single" w:sz="4" w:space="0" w:color="auto"/>
            </w:tcBorders>
            <w:shd w:val="clear" w:color="auto" w:fill="auto"/>
            <w:noWrap/>
            <w:vAlign w:val="bottom"/>
            <w:hideMark/>
          </w:tcPr>
          <w:p w14:paraId="2BD8BF9D" w14:textId="77777777" w:rsidR="00CF3957" w:rsidRPr="008F1593" w:rsidRDefault="00CF3957" w:rsidP="001E71E3">
            <w:pPr>
              <w:keepNext/>
              <w:rPr>
                <w:sz w:val="16"/>
                <w:szCs w:val="16"/>
              </w:rPr>
            </w:pPr>
            <w:r w:rsidRPr="008F1593">
              <w:rPr>
                <w:sz w:val="16"/>
                <w:szCs w:val="16"/>
              </w:rPr>
              <w:t>Obveznice - Serija 20 D-25, 257A</w:t>
            </w:r>
          </w:p>
        </w:tc>
        <w:tc>
          <w:tcPr>
            <w:tcW w:w="965" w:type="dxa"/>
            <w:tcBorders>
              <w:top w:val="single" w:sz="4" w:space="0" w:color="auto"/>
              <w:left w:val="nil"/>
              <w:bottom w:val="nil"/>
              <w:right w:val="single" w:sz="4" w:space="0" w:color="auto"/>
            </w:tcBorders>
            <w:shd w:val="clear" w:color="auto" w:fill="auto"/>
            <w:noWrap/>
            <w:vAlign w:val="bottom"/>
            <w:hideMark/>
          </w:tcPr>
          <w:p w14:paraId="353BC274"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509F9C81" w14:textId="77777777" w:rsidR="00CF3957" w:rsidRPr="008F1593" w:rsidRDefault="00CF3957" w:rsidP="001E71E3">
            <w:pPr>
              <w:keepNext/>
              <w:jc w:val="right"/>
              <w:rPr>
                <w:sz w:val="16"/>
                <w:szCs w:val="16"/>
              </w:rPr>
            </w:pPr>
            <w:r w:rsidRPr="008F1593">
              <w:rPr>
                <w:sz w:val="16"/>
                <w:szCs w:val="16"/>
              </w:rPr>
              <w:t>6.000.000.000,00</w:t>
            </w:r>
          </w:p>
        </w:tc>
        <w:tc>
          <w:tcPr>
            <w:tcW w:w="1880" w:type="dxa"/>
            <w:tcBorders>
              <w:top w:val="nil"/>
              <w:left w:val="nil"/>
              <w:bottom w:val="single" w:sz="4" w:space="0" w:color="auto"/>
              <w:right w:val="single" w:sz="4" w:space="0" w:color="auto"/>
            </w:tcBorders>
            <w:shd w:val="clear" w:color="auto" w:fill="auto"/>
            <w:noWrap/>
            <w:vAlign w:val="bottom"/>
            <w:hideMark/>
          </w:tcPr>
          <w:p w14:paraId="1643DBD4" w14:textId="77777777" w:rsidR="00CF3957" w:rsidRPr="008F1593" w:rsidRDefault="00CF3957" w:rsidP="001E71E3">
            <w:pPr>
              <w:keepNext/>
              <w:jc w:val="right"/>
              <w:rPr>
                <w:sz w:val="16"/>
                <w:szCs w:val="16"/>
              </w:rPr>
            </w:pPr>
            <w:r w:rsidRPr="008F1593">
              <w:rPr>
                <w:sz w:val="16"/>
                <w:szCs w:val="16"/>
              </w:rPr>
              <w:t>6.000.000.000,00</w:t>
            </w:r>
          </w:p>
        </w:tc>
      </w:tr>
      <w:tr w:rsidR="00CF3957" w:rsidRPr="008F1593" w14:paraId="31E9CC05"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FE5C91" w14:textId="77777777" w:rsidR="00CF3957" w:rsidRPr="008F1593" w:rsidRDefault="00CF3957" w:rsidP="001E71E3">
            <w:pPr>
              <w:keepNext/>
              <w:jc w:val="center"/>
              <w:rPr>
                <w:sz w:val="16"/>
                <w:szCs w:val="16"/>
              </w:rPr>
            </w:pPr>
            <w:r w:rsidRPr="008F1593">
              <w:rPr>
                <w:sz w:val="16"/>
                <w:szCs w:val="16"/>
              </w:rPr>
              <w:t>3.</w:t>
            </w:r>
          </w:p>
        </w:tc>
        <w:tc>
          <w:tcPr>
            <w:tcW w:w="4138" w:type="dxa"/>
            <w:tcBorders>
              <w:top w:val="single" w:sz="4" w:space="0" w:color="auto"/>
              <w:left w:val="nil"/>
              <w:bottom w:val="single" w:sz="4" w:space="0" w:color="auto"/>
              <w:right w:val="single" w:sz="4" w:space="0" w:color="auto"/>
            </w:tcBorders>
            <w:shd w:val="clear" w:color="auto" w:fill="auto"/>
            <w:noWrap/>
            <w:vAlign w:val="bottom"/>
            <w:hideMark/>
          </w:tcPr>
          <w:p w14:paraId="2C31D429" w14:textId="77777777" w:rsidR="00CF3957" w:rsidRPr="008F1593" w:rsidRDefault="00CF3957" w:rsidP="001E71E3">
            <w:pPr>
              <w:keepNext/>
              <w:rPr>
                <w:sz w:val="16"/>
                <w:szCs w:val="16"/>
              </w:rPr>
            </w:pPr>
            <w:r w:rsidRPr="008F1593">
              <w:rPr>
                <w:sz w:val="16"/>
                <w:szCs w:val="16"/>
              </w:rPr>
              <w:t>Obveznice - Serija 21 D-26, 26CA</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0EA4E630"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671F893D" w14:textId="77777777" w:rsidR="00CF3957" w:rsidRPr="008F1593" w:rsidRDefault="00CF3957" w:rsidP="001E71E3">
            <w:pPr>
              <w:keepNext/>
              <w:jc w:val="right"/>
              <w:rPr>
                <w:sz w:val="16"/>
                <w:szCs w:val="16"/>
              </w:rPr>
            </w:pPr>
            <w:r w:rsidRPr="008F1593">
              <w:rPr>
                <w:sz w:val="16"/>
                <w:szCs w:val="16"/>
              </w:rPr>
              <w:t>12.460.000.000,00</w:t>
            </w:r>
          </w:p>
        </w:tc>
        <w:tc>
          <w:tcPr>
            <w:tcW w:w="1880" w:type="dxa"/>
            <w:tcBorders>
              <w:top w:val="nil"/>
              <w:left w:val="nil"/>
              <w:bottom w:val="single" w:sz="4" w:space="0" w:color="auto"/>
              <w:right w:val="single" w:sz="4" w:space="0" w:color="auto"/>
            </w:tcBorders>
            <w:shd w:val="clear" w:color="auto" w:fill="auto"/>
            <w:noWrap/>
            <w:vAlign w:val="bottom"/>
            <w:hideMark/>
          </w:tcPr>
          <w:p w14:paraId="3FE0E624" w14:textId="77777777" w:rsidR="00CF3957" w:rsidRPr="008F1593" w:rsidRDefault="00CF3957" w:rsidP="001E71E3">
            <w:pPr>
              <w:keepNext/>
              <w:jc w:val="right"/>
              <w:rPr>
                <w:sz w:val="16"/>
                <w:szCs w:val="16"/>
              </w:rPr>
            </w:pPr>
            <w:r w:rsidRPr="008F1593">
              <w:rPr>
                <w:sz w:val="16"/>
                <w:szCs w:val="16"/>
              </w:rPr>
              <w:t>12.460.000.000,00</w:t>
            </w:r>
          </w:p>
        </w:tc>
      </w:tr>
      <w:tr w:rsidR="00CF3957" w:rsidRPr="008F1593" w14:paraId="68D7B36F"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44A698" w14:textId="77777777" w:rsidR="00CF3957" w:rsidRPr="008F1593" w:rsidRDefault="00CF3957" w:rsidP="001E71E3">
            <w:pPr>
              <w:keepNext/>
              <w:jc w:val="center"/>
              <w:rPr>
                <w:sz w:val="16"/>
                <w:szCs w:val="16"/>
              </w:rPr>
            </w:pPr>
            <w:r w:rsidRPr="008F1593">
              <w:rPr>
                <w:sz w:val="16"/>
                <w:szCs w:val="16"/>
              </w:rPr>
              <w:t>4.</w:t>
            </w:r>
          </w:p>
        </w:tc>
        <w:tc>
          <w:tcPr>
            <w:tcW w:w="4138" w:type="dxa"/>
            <w:tcBorders>
              <w:top w:val="nil"/>
              <w:left w:val="nil"/>
              <w:bottom w:val="single" w:sz="4" w:space="0" w:color="auto"/>
              <w:right w:val="single" w:sz="4" w:space="0" w:color="auto"/>
            </w:tcBorders>
            <w:shd w:val="clear" w:color="auto" w:fill="auto"/>
            <w:noWrap/>
            <w:vAlign w:val="bottom"/>
            <w:hideMark/>
          </w:tcPr>
          <w:p w14:paraId="71B7F9B2" w14:textId="77777777" w:rsidR="00CF3957" w:rsidRPr="008F1593" w:rsidRDefault="00CF3957" w:rsidP="001E71E3">
            <w:pPr>
              <w:keepNext/>
              <w:rPr>
                <w:sz w:val="16"/>
                <w:szCs w:val="16"/>
              </w:rPr>
            </w:pPr>
            <w:r w:rsidRPr="008F1593">
              <w:rPr>
                <w:sz w:val="16"/>
                <w:szCs w:val="16"/>
              </w:rPr>
              <w:t>Obveznice - Serija 24 D-28, 282A</w:t>
            </w:r>
          </w:p>
        </w:tc>
        <w:tc>
          <w:tcPr>
            <w:tcW w:w="965" w:type="dxa"/>
            <w:tcBorders>
              <w:top w:val="nil"/>
              <w:left w:val="nil"/>
              <w:bottom w:val="single" w:sz="4" w:space="0" w:color="auto"/>
              <w:right w:val="single" w:sz="4" w:space="0" w:color="auto"/>
            </w:tcBorders>
            <w:shd w:val="clear" w:color="auto" w:fill="auto"/>
            <w:noWrap/>
            <w:vAlign w:val="bottom"/>
            <w:hideMark/>
          </w:tcPr>
          <w:p w14:paraId="39F311D5"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3CFFEF12" w14:textId="77777777" w:rsidR="00CF3957" w:rsidRPr="008F1593" w:rsidRDefault="00CF3957" w:rsidP="001E71E3">
            <w:pPr>
              <w:keepNext/>
              <w:jc w:val="right"/>
              <w:rPr>
                <w:sz w:val="16"/>
                <w:szCs w:val="16"/>
              </w:rPr>
            </w:pPr>
            <w:r w:rsidRPr="008F1593">
              <w:rPr>
                <w:sz w:val="16"/>
                <w:szCs w:val="16"/>
              </w:rPr>
              <w:t>8.090.000.000,00</w:t>
            </w:r>
          </w:p>
        </w:tc>
        <w:tc>
          <w:tcPr>
            <w:tcW w:w="1880" w:type="dxa"/>
            <w:tcBorders>
              <w:top w:val="nil"/>
              <w:left w:val="nil"/>
              <w:bottom w:val="single" w:sz="4" w:space="0" w:color="auto"/>
              <w:right w:val="single" w:sz="4" w:space="0" w:color="auto"/>
            </w:tcBorders>
            <w:shd w:val="clear" w:color="auto" w:fill="auto"/>
            <w:noWrap/>
            <w:vAlign w:val="bottom"/>
            <w:hideMark/>
          </w:tcPr>
          <w:p w14:paraId="41836573" w14:textId="77777777" w:rsidR="00CF3957" w:rsidRPr="008F1593" w:rsidRDefault="00CF3957" w:rsidP="001E71E3">
            <w:pPr>
              <w:keepNext/>
              <w:jc w:val="right"/>
              <w:rPr>
                <w:sz w:val="16"/>
                <w:szCs w:val="16"/>
              </w:rPr>
            </w:pPr>
            <w:r w:rsidRPr="008F1593">
              <w:rPr>
                <w:sz w:val="16"/>
                <w:szCs w:val="16"/>
              </w:rPr>
              <w:t>8.090.000.000,00</w:t>
            </w:r>
          </w:p>
        </w:tc>
      </w:tr>
      <w:tr w:rsidR="00CF3957" w:rsidRPr="008F1593" w14:paraId="3D9BA622"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0B8E2E" w14:textId="77777777" w:rsidR="00CF3957" w:rsidRPr="008F1593" w:rsidRDefault="00CF3957" w:rsidP="001E71E3">
            <w:pPr>
              <w:keepNext/>
              <w:jc w:val="center"/>
              <w:rPr>
                <w:sz w:val="16"/>
                <w:szCs w:val="16"/>
              </w:rPr>
            </w:pPr>
            <w:r w:rsidRPr="008F1593">
              <w:rPr>
                <w:sz w:val="16"/>
                <w:szCs w:val="16"/>
              </w:rPr>
              <w:t>5.</w:t>
            </w:r>
          </w:p>
        </w:tc>
        <w:tc>
          <w:tcPr>
            <w:tcW w:w="4138" w:type="dxa"/>
            <w:tcBorders>
              <w:top w:val="nil"/>
              <w:left w:val="nil"/>
              <w:bottom w:val="single" w:sz="4" w:space="0" w:color="auto"/>
              <w:right w:val="single" w:sz="4" w:space="0" w:color="auto"/>
            </w:tcBorders>
            <w:shd w:val="clear" w:color="auto" w:fill="auto"/>
            <w:noWrap/>
            <w:vAlign w:val="bottom"/>
            <w:hideMark/>
          </w:tcPr>
          <w:p w14:paraId="745A40EA" w14:textId="77777777" w:rsidR="00CF3957" w:rsidRPr="008F1593" w:rsidRDefault="00CF3957" w:rsidP="001E71E3">
            <w:pPr>
              <w:keepNext/>
              <w:rPr>
                <w:sz w:val="16"/>
                <w:szCs w:val="16"/>
              </w:rPr>
            </w:pPr>
            <w:r>
              <w:rPr>
                <w:sz w:val="16"/>
                <w:szCs w:val="16"/>
              </w:rPr>
              <w:t>Obveznice - Serija 25 D-32 I</w:t>
            </w:r>
            <w:r w:rsidRPr="008F1593">
              <w:rPr>
                <w:sz w:val="16"/>
                <w:szCs w:val="16"/>
              </w:rPr>
              <w:t>, 327A</w:t>
            </w:r>
            <w:r>
              <w:rPr>
                <w:sz w:val="16"/>
                <w:szCs w:val="16"/>
              </w:rPr>
              <w:t xml:space="preserve"> Indeksirane HRK/EUR</w:t>
            </w:r>
          </w:p>
        </w:tc>
        <w:tc>
          <w:tcPr>
            <w:tcW w:w="965" w:type="dxa"/>
            <w:tcBorders>
              <w:top w:val="nil"/>
              <w:left w:val="nil"/>
              <w:bottom w:val="single" w:sz="4" w:space="0" w:color="auto"/>
              <w:right w:val="single" w:sz="4" w:space="0" w:color="auto"/>
            </w:tcBorders>
            <w:shd w:val="clear" w:color="auto" w:fill="auto"/>
            <w:noWrap/>
            <w:vAlign w:val="bottom"/>
            <w:hideMark/>
          </w:tcPr>
          <w:p w14:paraId="457958C7"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5B4FA93A" w14:textId="77777777" w:rsidR="00CF3957" w:rsidRPr="008F1593" w:rsidRDefault="00CF3957" w:rsidP="001E71E3">
            <w:pPr>
              <w:keepNext/>
              <w:jc w:val="right"/>
              <w:rPr>
                <w:sz w:val="16"/>
                <w:szCs w:val="16"/>
              </w:rPr>
            </w:pPr>
            <w:r w:rsidRPr="008F1593">
              <w:rPr>
                <w:sz w:val="16"/>
                <w:szCs w:val="16"/>
              </w:rPr>
              <w:t>3.000.000.000,00</w:t>
            </w:r>
          </w:p>
        </w:tc>
        <w:tc>
          <w:tcPr>
            <w:tcW w:w="1880" w:type="dxa"/>
            <w:tcBorders>
              <w:top w:val="nil"/>
              <w:left w:val="nil"/>
              <w:bottom w:val="single" w:sz="4" w:space="0" w:color="auto"/>
              <w:right w:val="single" w:sz="4" w:space="0" w:color="auto"/>
            </w:tcBorders>
            <w:shd w:val="clear" w:color="auto" w:fill="auto"/>
            <w:noWrap/>
            <w:vAlign w:val="bottom"/>
            <w:hideMark/>
          </w:tcPr>
          <w:p w14:paraId="1A1BF53B" w14:textId="77777777" w:rsidR="00CF3957" w:rsidRPr="008F1593" w:rsidRDefault="00CF3957" w:rsidP="001E71E3">
            <w:pPr>
              <w:keepNext/>
              <w:jc w:val="right"/>
              <w:rPr>
                <w:sz w:val="16"/>
                <w:szCs w:val="16"/>
              </w:rPr>
            </w:pPr>
            <w:r w:rsidRPr="008F1593">
              <w:rPr>
                <w:sz w:val="16"/>
                <w:szCs w:val="16"/>
              </w:rPr>
              <w:t>3.000.000.000,00</w:t>
            </w:r>
          </w:p>
        </w:tc>
      </w:tr>
      <w:tr w:rsidR="00CF3957" w:rsidRPr="008F1593" w14:paraId="341CB80F"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414E0E" w14:textId="77777777" w:rsidR="00CF3957" w:rsidRPr="008F1593" w:rsidRDefault="00CF3957" w:rsidP="001E71E3">
            <w:pPr>
              <w:keepNext/>
              <w:jc w:val="center"/>
              <w:rPr>
                <w:sz w:val="16"/>
                <w:szCs w:val="16"/>
              </w:rPr>
            </w:pPr>
            <w:r w:rsidRPr="008F1593">
              <w:rPr>
                <w:sz w:val="16"/>
                <w:szCs w:val="16"/>
              </w:rPr>
              <w:t>6.</w:t>
            </w:r>
          </w:p>
        </w:tc>
        <w:tc>
          <w:tcPr>
            <w:tcW w:w="4138" w:type="dxa"/>
            <w:tcBorders>
              <w:top w:val="nil"/>
              <w:left w:val="nil"/>
              <w:bottom w:val="single" w:sz="4" w:space="0" w:color="auto"/>
              <w:right w:val="single" w:sz="4" w:space="0" w:color="auto"/>
            </w:tcBorders>
            <w:shd w:val="clear" w:color="auto" w:fill="auto"/>
            <w:noWrap/>
            <w:vAlign w:val="bottom"/>
            <w:hideMark/>
          </w:tcPr>
          <w:p w14:paraId="3F5C318C" w14:textId="77777777" w:rsidR="00CF3957" w:rsidRPr="008F1593" w:rsidRDefault="00CF3957" w:rsidP="001E71E3">
            <w:pPr>
              <w:keepNext/>
              <w:rPr>
                <w:sz w:val="16"/>
                <w:szCs w:val="16"/>
              </w:rPr>
            </w:pPr>
            <w:r w:rsidRPr="008F1593">
              <w:rPr>
                <w:sz w:val="16"/>
                <w:szCs w:val="16"/>
              </w:rPr>
              <w:t>Obveznice - Serija 26 D-23, 23BA</w:t>
            </w:r>
          </w:p>
        </w:tc>
        <w:tc>
          <w:tcPr>
            <w:tcW w:w="965" w:type="dxa"/>
            <w:tcBorders>
              <w:top w:val="nil"/>
              <w:left w:val="nil"/>
              <w:bottom w:val="single" w:sz="4" w:space="0" w:color="auto"/>
              <w:right w:val="single" w:sz="4" w:space="0" w:color="auto"/>
            </w:tcBorders>
            <w:shd w:val="clear" w:color="auto" w:fill="auto"/>
            <w:noWrap/>
            <w:vAlign w:val="bottom"/>
            <w:hideMark/>
          </w:tcPr>
          <w:p w14:paraId="4EE5A61E"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5B22BA11" w14:textId="77777777" w:rsidR="00CF3957" w:rsidRPr="008F1593" w:rsidRDefault="00CF3957" w:rsidP="001E71E3">
            <w:pPr>
              <w:keepNext/>
              <w:jc w:val="right"/>
              <w:rPr>
                <w:sz w:val="16"/>
                <w:szCs w:val="16"/>
              </w:rPr>
            </w:pPr>
            <w:r w:rsidRPr="008F1593">
              <w:rPr>
                <w:sz w:val="16"/>
                <w:szCs w:val="16"/>
              </w:rPr>
              <w:t>11.300.000.000,00</w:t>
            </w:r>
          </w:p>
        </w:tc>
        <w:tc>
          <w:tcPr>
            <w:tcW w:w="1880" w:type="dxa"/>
            <w:tcBorders>
              <w:top w:val="nil"/>
              <w:left w:val="nil"/>
              <w:bottom w:val="single" w:sz="4" w:space="0" w:color="auto"/>
              <w:right w:val="single" w:sz="4" w:space="0" w:color="auto"/>
            </w:tcBorders>
            <w:shd w:val="clear" w:color="auto" w:fill="auto"/>
            <w:noWrap/>
            <w:vAlign w:val="bottom"/>
            <w:hideMark/>
          </w:tcPr>
          <w:p w14:paraId="5E4910F7" w14:textId="77777777" w:rsidR="00CF3957" w:rsidRPr="008F1593" w:rsidRDefault="00CF3957" w:rsidP="001E71E3">
            <w:pPr>
              <w:keepNext/>
              <w:jc w:val="right"/>
              <w:rPr>
                <w:sz w:val="16"/>
                <w:szCs w:val="16"/>
              </w:rPr>
            </w:pPr>
            <w:r w:rsidRPr="008F1593">
              <w:rPr>
                <w:sz w:val="16"/>
                <w:szCs w:val="16"/>
              </w:rPr>
              <w:t>11.300.000.000,00</w:t>
            </w:r>
          </w:p>
        </w:tc>
      </w:tr>
      <w:tr w:rsidR="00CF3957" w:rsidRPr="008F1593" w14:paraId="63DC90FF"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CDF99B" w14:textId="77777777" w:rsidR="00CF3957" w:rsidRPr="008F1593" w:rsidRDefault="00CF3957" w:rsidP="001E71E3">
            <w:pPr>
              <w:keepNext/>
              <w:jc w:val="center"/>
              <w:rPr>
                <w:sz w:val="16"/>
                <w:szCs w:val="16"/>
              </w:rPr>
            </w:pPr>
            <w:r w:rsidRPr="008F1593">
              <w:rPr>
                <w:sz w:val="16"/>
                <w:szCs w:val="16"/>
              </w:rPr>
              <w:t>7.</w:t>
            </w:r>
          </w:p>
        </w:tc>
        <w:tc>
          <w:tcPr>
            <w:tcW w:w="4138" w:type="dxa"/>
            <w:tcBorders>
              <w:top w:val="nil"/>
              <w:left w:val="nil"/>
              <w:bottom w:val="single" w:sz="4" w:space="0" w:color="auto"/>
              <w:right w:val="single" w:sz="4" w:space="0" w:color="auto"/>
            </w:tcBorders>
            <w:shd w:val="clear" w:color="auto" w:fill="auto"/>
            <w:noWrap/>
            <w:vAlign w:val="bottom"/>
            <w:hideMark/>
          </w:tcPr>
          <w:p w14:paraId="14ED8734" w14:textId="77777777" w:rsidR="00CF3957" w:rsidRPr="008F1593" w:rsidRDefault="00CF3957" w:rsidP="001E71E3">
            <w:pPr>
              <w:keepNext/>
              <w:rPr>
                <w:sz w:val="16"/>
                <w:szCs w:val="16"/>
              </w:rPr>
            </w:pPr>
            <w:r w:rsidRPr="008F1593">
              <w:rPr>
                <w:sz w:val="16"/>
                <w:szCs w:val="16"/>
              </w:rPr>
              <w:t>Obveznice - Serija 27 D-29, 297A</w:t>
            </w:r>
          </w:p>
        </w:tc>
        <w:tc>
          <w:tcPr>
            <w:tcW w:w="965" w:type="dxa"/>
            <w:tcBorders>
              <w:top w:val="nil"/>
              <w:left w:val="nil"/>
              <w:bottom w:val="single" w:sz="4" w:space="0" w:color="auto"/>
              <w:right w:val="single" w:sz="4" w:space="0" w:color="auto"/>
            </w:tcBorders>
            <w:shd w:val="clear" w:color="auto" w:fill="auto"/>
            <w:noWrap/>
            <w:vAlign w:val="bottom"/>
            <w:hideMark/>
          </w:tcPr>
          <w:p w14:paraId="77688BD6"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00C9888F" w14:textId="77777777" w:rsidR="00CF3957" w:rsidRPr="008F1593" w:rsidRDefault="00CF3957" w:rsidP="001E71E3">
            <w:pPr>
              <w:keepNext/>
              <w:jc w:val="right"/>
              <w:rPr>
                <w:sz w:val="16"/>
                <w:szCs w:val="16"/>
              </w:rPr>
            </w:pPr>
            <w:r w:rsidRPr="008F1593">
              <w:rPr>
                <w:sz w:val="16"/>
                <w:szCs w:val="16"/>
              </w:rPr>
              <w:t>10.000.000.000,00</w:t>
            </w:r>
          </w:p>
        </w:tc>
        <w:tc>
          <w:tcPr>
            <w:tcW w:w="1880" w:type="dxa"/>
            <w:tcBorders>
              <w:top w:val="nil"/>
              <w:left w:val="nil"/>
              <w:bottom w:val="single" w:sz="4" w:space="0" w:color="auto"/>
              <w:right w:val="single" w:sz="4" w:space="0" w:color="auto"/>
            </w:tcBorders>
            <w:shd w:val="clear" w:color="auto" w:fill="auto"/>
            <w:noWrap/>
            <w:vAlign w:val="bottom"/>
            <w:hideMark/>
          </w:tcPr>
          <w:p w14:paraId="4E887425" w14:textId="77777777" w:rsidR="00CF3957" w:rsidRPr="008F1593" w:rsidRDefault="00CF3957" w:rsidP="001E71E3">
            <w:pPr>
              <w:keepNext/>
              <w:jc w:val="right"/>
              <w:rPr>
                <w:sz w:val="16"/>
                <w:szCs w:val="16"/>
              </w:rPr>
            </w:pPr>
            <w:r w:rsidRPr="008F1593">
              <w:rPr>
                <w:sz w:val="16"/>
                <w:szCs w:val="16"/>
              </w:rPr>
              <w:t>10.000.000.000,00</w:t>
            </w:r>
          </w:p>
        </w:tc>
      </w:tr>
      <w:tr w:rsidR="00CF3957" w:rsidRPr="008F1593" w14:paraId="18C63CE0"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B37EF9" w14:textId="77777777" w:rsidR="00CF3957" w:rsidRPr="008F1593" w:rsidRDefault="00CF3957" w:rsidP="001E71E3">
            <w:pPr>
              <w:keepNext/>
              <w:jc w:val="center"/>
              <w:rPr>
                <w:sz w:val="16"/>
                <w:szCs w:val="16"/>
              </w:rPr>
            </w:pPr>
            <w:r w:rsidRPr="008F1593">
              <w:rPr>
                <w:sz w:val="16"/>
                <w:szCs w:val="16"/>
              </w:rPr>
              <w:t>8.</w:t>
            </w:r>
          </w:p>
        </w:tc>
        <w:tc>
          <w:tcPr>
            <w:tcW w:w="4138" w:type="dxa"/>
            <w:tcBorders>
              <w:top w:val="nil"/>
              <w:left w:val="nil"/>
              <w:bottom w:val="single" w:sz="4" w:space="0" w:color="auto"/>
              <w:right w:val="single" w:sz="4" w:space="0" w:color="auto"/>
            </w:tcBorders>
            <w:shd w:val="clear" w:color="auto" w:fill="auto"/>
            <w:noWrap/>
            <w:vAlign w:val="bottom"/>
            <w:hideMark/>
          </w:tcPr>
          <w:p w14:paraId="441AE55B" w14:textId="77777777" w:rsidR="00CF3957" w:rsidRPr="008F1593" w:rsidRDefault="00CF3957" w:rsidP="001E71E3">
            <w:pPr>
              <w:keepNext/>
              <w:rPr>
                <w:sz w:val="16"/>
                <w:szCs w:val="16"/>
              </w:rPr>
            </w:pPr>
            <w:r w:rsidRPr="008F1593">
              <w:rPr>
                <w:sz w:val="16"/>
                <w:szCs w:val="16"/>
              </w:rPr>
              <w:t>Obveznice - Serija 29 D-24, 24BA</w:t>
            </w:r>
          </w:p>
        </w:tc>
        <w:tc>
          <w:tcPr>
            <w:tcW w:w="965" w:type="dxa"/>
            <w:tcBorders>
              <w:top w:val="nil"/>
              <w:left w:val="nil"/>
              <w:bottom w:val="single" w:sz="4" w:space="0" w:color="auto"/>
              <w:right w:val="single" w:sz="4" w:space="0" w:color="auto"/>
            </w:tcBorders>
            <w:shd w:val="clear" w:color="auto" w:fill="auto"/>
            <w:noWrap/>
            <w:vAlign w:val="bottom"/>
            <w:hideMark/>
          </w:tcPr>
          <w:p w14:paraId="56DDB829"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12EEF083" w14:textId="77777777" w:rsidR="00CF3957" w:rsidRPr="008F1593" w:rsidRDefault="00CF3957" w:rsidP="001E71E3">
            <w:pPr>
              <w:keepNext/>
              <w:jc w:val="right"/>
              <w:rPr>
                <w:sz w:val="16"/>
                <w:szCs w:val="16"/>
              </w:rPr>
            </w:pPr>
            <w:r w:rsidRPr="008F1593">
              <w:rPr>
                <w:sz w:val="16"/>
                <w:szCs w:val="16"/>
              </w:rPr>
              <w:t>3.500.000.000,00</w:t>
            </w:r>
          </w:p>
        </w:tc>
        <w:tc>
          <w:tcPr>
            <w:tcW w:w="1880" w:type="dxa"/>
            <w:tcBorders>
              <w:top w:val="nil"/>
              <w:left w:val="nil"/>
              <w:bottom w:val="single" w:sz="4" w:space="0" w:color="auto"/>
              <w:right w:val="single" w:sz="4" w:space="0" w:color="auto"/>
            </w:tcBorders>
            <w:shd w:val="clear" w:color="auto" w:fill="auto"/>
            <w:noWrap/>
            <w:vAlign w:val="bottom"/>
            <w:hideMark/>
          </w:tcPr>
          <w:p w14:paraId="738D8F7A" w14:textId="77777777" w:rsidR="00CF3957" w:rsidRPr="008F1593" w:rsidRDefault="00CF3957" w:rsidP="001E71E3">
            <w:pPr>
              <w:keepNext/>
              <w:jc w:val="right"/>
              <w:rPr>
                <w:sz w:val="16"/>
                <w:szCs w:val="16"/>
              </w:rPr>
            </w:pPr>
            <w:r w:rsidRPr="008F1593">
              <w:rPr>
                <w:sz w:val="16"/>
                <w:szCs w:val="16"/>
              </w:rPr>
              <w:t>3.500.000.000,00</w:t>
            </w:r>
          </w:p>
        </w:tc>
      </w:tr>
      <w:tr w:rsidR="00CF3957" w:rsidRPr="008F1593" w14:paraId="3A4BE7E9"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1A131A" w14:textId="77777777" w:rsidR="00CF3957" w:rsidRPr="008F1593" w:rsidRDefault="00CF3957" w:rsidP="001E71E3">
            <w:pPr>
              <w:keepNext/>
              <w:jc w:val="center"/>
              <w:rPr>
                <w:sz w:val="16"/>
                <w:szCs w:val="16"/>
              </w:rPr>
            </w:pPr>
            <w:r w:rsidRPr="008F1593">
              <w:rPr>
                <w:sz w:val="16"/>
                <w:szCs w:val="16"/>
              </w:rPr>
              <w:t>9.</w:t>
            </w:r>
          </w:p>
        </w:tc>
        <w:tc>
          <w:tcPr>
            <w:tcW w:w="4138" w:type="dxa"/>
            <w:tcBorders>
              <w:top w:val="nil"/>
              <w:left w:val="nil"/>
              <w:bottom w:val="single" w:sz="4" w:space="0" w:color="auto"/>
              <w:right w:val="single" w:sz="4" w:space="0" w:color="auto"/>
            </w:tcBorders>
            <w:shd w:val="clear" w:color="auto" w:fill="auto"/>
            <w:noWrap/>
            <w:vAlign w:val="bottom"/>
            <w:hideMark/>
          </w:tcPr>
          <w:p w14:paraId="6B5B88FC" w14:textId="77777777" w:rsidR="00CF3957" w:rsidRPr="008F1593" w:rsidRDefault="00CF3957" w:rsidP="001E71E3">
            <w:pPr>
              <w:keepNext/>
              <w:rPr>
                <w:sz w:val="16"/>
                <w:szCs w:val="16"/>
              </w:rPr>
            </w:pPr>
            <w:r>
              <w:rPr>
                <w:sz w:val="16"/>
                <w:szCs w:val="16"/>
              </w:rPr>
              <w:t>Obveznice - Serija 30 D-34 I</w:t>
            </w:r>
            <w:r w:rsidRPr="008F1593">
              <w:rPr>
                <w:sz w:val="16"/>
                <w:szCs w:val="16"/>
              </w:rPr>
              <w:t>, 34BA</w:t>
            </w:r>
            <w:r>
              <w:rPr>
                <w:sz w:val="16"/>
                <w:szCs w:val="16"/>
              </w:rPr>
              <w:t xml:space="preserve"> Indeksirane HRK/EUR</w:t>
            </w:r>
          </w:p>
        </w:tc>
        <w:tc>
          <w:tcPr>
            <w:tcW w:w="965" w:type="dxa"/>
            <w:tcBorders>
              <w:top w:val="nil"/>
              <w:left w:val="nil"/>
              <w:bottom w:val="single" w:sz="4" w:space="0" w:color="auto"/>
              <w:right w:val="single" w:sz="4" w:space="0" w:color="auto"/>
            </w:tcBorders>
            <w:shd w:val="clear" w:color="auto" w:fill="auto"/>
            <w:noWrap/>
            <w:vAlign w:val="bottom"/>
            <w:hideMark/>
          </w:tcPr>
          <w:p w14:paraId="31A322C2"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5A794604" w14:textId="77777777" w:rsidR="00CF3957" w:rsidRPr="008F1593" w:rsidRDefault="00CF3957" w:rsidP="001E71E3">
            <w:pPr>
              <w:keepNext/>
              <w:jc w:val="right"/>
              <w:rPr>
                <w:sz w:val="16"/>
                <w:szCs w:val="16"/>
              </w:rPr>
            </w:pPr>
            <w:r w:rsidRPr="008F1593">
              <w:rPr>
                <w:sz w:val="16"/>
                <w:szCs w:val="16"/>
              </w:rPr>
              <w:t>11.500.000.000,00</w:t>
            </w:r>
          </w:p>
        </w:tc>
        <w:tc>
          <w:tcPr>
            <w:tcW w:w="1880" w:type="dxa"/>
            <w:tcBorders>
              <w:top w:val="nil"/>
              <w:left w:val="nil"/>
              <w:bottom w:val="single" w:sz="4" w:space="0" w:color="auto"/>
              <w:right w:val="single" w:sz="4" w:space="0" w:color="auto"/>
            </w:tcBorders>
            <w:shd w:val="clear" w:color="auto" w:fill="auto"/>
            <w:noWrap/>
            <w:vAlign w:val="bottom"/>
            <w:hideMark/>
          </w:tcPr>
          <w:p w14:paraId="797FE39D" w14:textId="77777777" w:rsidR="00CF3957" w:rsidRPr="008F1593" w:rsidRDefault="00CF3957" w:rsidP="001E71E3">
            <w:pPr>
              <w:keepNext/>
              <w:jc w:val="right"/>
              <w:rPr>
                <w:sz w:val="16"/>
                <w:szCs w:val="16"/>
              </w:rPr>
            </w:pPr>
            <w:r w:rsidRPr="008F1593">
              <w:rPr>
                <w:sz w:val="16"/>
                <w:szCs w:val="16"/>
              </w:rPr>
              <w:t>11.500.000.000,00</w:t>
            </w:r>
          </w:p>
        </w:tc>
      </w:tr>
      <w:tr w:rsidR="00CF3957" w:rsidRPr="008F1593" w14:paraId="4FC00115"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CA273" w14:textId="77777777" w:rsidR="00CF3957" w:rsidRPr="008F1593" w:rsidRDefault="00CF3957" w:rsidP="001E71E3">
            <w:pPr>
              <w:keepNext/>
              <w:jc w:val="center"/>
              <w:rPr>
                <w:sz w:val="16"/>
                <w:szCs w:val="16"/>
              </w:rPr>
            </w:pPr>
            <w:r w:rsidRPr="008F1593">
              <w:rPr>
                <w:sz w:val="16"/>
                <w:szCs w:val="16"/>
              </w:rPr>
              <w:t>10.</w:t>
            </w:r>
          </w:p>
        </w:tc>
        <w:tc>
          <w:tcPr>
            <w:tcW w:w="4138" w:type="dxa"/>
            <w:tcBorders>
              <w:top w:val="nil"/>
              <w:left w:val="nil"/>
              <w:bottom w:val="single" w:sz="4" w:space="0" w:color="auto"/>
              <w:right w:val="single" w:sz="4" w:space="0" w:color="auto"/>
            </w:tcBorders>
            <w:shd w:val="clear" w:color="auto" w:fill="auto"/>
            <w:noWrap/>
            <w:vAlign w:val="bottom"/>
            <w:hideMark/>
          </w:tcPr>
          <w:p w14:paraId="38C0D039" w14:textId="77777777" w:rsidR="00CF3957" w:rsidRPr="008F1593" w:rsidRDefault="00CF3957" w:rsidP="001E71E3">
            <w:pPr>
              <w:keepNext/>
              <w:rPr>
                <w:sz w:val="16"/>
                <w:szCs w:val="16"/>
              </w:rPr>
            </w:pPr>
            <w:r w:rsidRPr="008F1593">
              <w:rPr>
                <w:sz w:val="16"/>
                <w:szCs w:val="16"/>
              </w:rPr>
              <w:t>Obveznice - Serija 31 D-40, 403E</w:t>
            </w:r>
          </w:p>
        </w:tc>
        <w:tc>
          <w:tcPr>
            <w:tcW w:w="965" w:type="dxa"/>
            <w:tcBorders>
              <w:top w:val="nil"/>
              <w:left w:val="nil"/>
              <w:bottom w:val="single" w:sz="4" w:space="0" w:color="auto"/>
              <w:right w:val="single" w:sz="4" w:space="0" w:color="auto"/>
            </w:tcBorders>
            <w:shd w:val="clear" w:color="auto" w:fill="auto"/>
            <w:noWrap/>
            <w:vAlign w:val="bottom"/>
            <w:hideMark/>
          </w:tcPr>
          <w:p w14:paraId="5800E842" w14:textId="77777777" w:rsidR="00CF3957" w:rsidRPr="008F1593" w:rsidRDefault="00CF3957" w:rsidP="001E71E3">
            <w:pPr>
              <w:keepNext/>
              <w:jc w:val="center"/>
              <w:rPr>
                <w:sz w:val="16"/>
                <w:szCs w:val="16"/>
              </w:rPr>
            </w:pPr>
            <w:r w:rsidRPr="008F1593">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35DB05BE" w14:textId="77777777" w:rsidR="00CF3957" w:rsidRPr="008F1593" w:rsidRDefault="00CF3957" w:rsidP="001E71E3">
            <w:pPr>
              <w:keepNext/>
              <w:jc w:val="right"/>
              <w:rPr>
                <w:sz w:val="16"/>
                <w:szCs w:val="16"/>
              </w:rPr>
            </w:pPr>
            <w:r w:rsidRPr="008F1593">
              <w:rPr>
                <w:sz w:val="16"/>
                <w:szCs w:val="16"/>
              </w:rPr>
              <w:t>800.000.000,00</w:t>
            </w:r>
          </w:p>
        </w:tc>
        <w:tc>
          <w:tcPr>
            <w:tcW w:w="1880" w:type="dxa"/>
            <w:tcBorders>
              <w:top w:val="nil"/>
              <w:left w:val="nil"/>
              <w:bottom w:val="single" w:sz="4" w:space="0" w:color="auto"/>
              <w:right w:val="single" w:sz="4" w:space="0" w:color="auto"/>
            </w:tcBorders>
            <w:shd w:val="clear" w:color="auto" w:fill="auto"/>
            <w:noWrap/>
            <w:vAlign w:val="bottom"/>
            <w:hideMark/>
          </w:tcPr>
          <w:p w14:paraId="2E7814BA" w14:textId="77777777" w:rsidR="00CF3957" w:rsidRPr="008F1593" w:rsidRDefault="00CF3957" w:rsidP="001E71E3">
            <w:pPr>
              <w:keepNext/>
              <w:jc w:val="right"/>
              <w:rPr>
                <w:sz w:val="16"/>
                <w:szCs w:val="16"/>
              </w:rPr>
            </w:pPr>
            <w:r w:rsidRPr="008F1593">
              <w:rPr>
                <w:sz w:val="16"/>
                <w:szCs w:val="16"/>
              </w:rPr>
              <w:t>6.027.600.000,00</w:t>
            </w:r>
          </w:p>
        </w:tc>
      </w:tr>
      <w:tr w:rsidR="00CF3957" w:rsidRPr="008F1593" w14:paraId="444448F5"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F6507B" w14:textId="77777777" w:rsidR="00CF3957" w:rsidRPr="008F1593" w:rsidRDefault="00CF3957" w:rsidP="001E71E3">
            <w:pPr>
              <w:keepNext/>
              <w:jc w:val="center"/>
              <w:rPr>
                <w:sz w:val="16"/>
                <w:szCs w:val="16"/>
              </w:rPr>
            </w:pPr>
            <w:r w:rsidRPr="008F1593">
              <w:rPr>
                <w:sz w:val="16"/>
                <w:szCs w:val="16"/>
              </w:rPr>
              <w:t>11.</w:t>
            </w:r>
          </w:p>
        </w:tc>
        <w:tc>
          <w:tcPr>
            <w:tcW w:w="4138" w:type="dxa"/>
            <w:tcBorders>
              <w:top w:val="nil"/>
              <w:left w:val="nil"/>
              <w:bottom w:val="single" w:sz="4" w:space="0" w:color="auto"/>
              <w:right w:val="single" w:sz="4" w:space="0" w:color="auto"/>
            </w:tcBorders>
            <w:shd w:val="clear" w:color="auto" w:fill="auto"/>
            <w:noWrap/>
            <w:vAlign w:val="bottom"/>
            <w:hideMark/>
          </w:tcPr>
          <w:p w14:paraId="6B7A4DF5" w14:textId="77777777" w:rsidR="00CF3957" w:rsidRPr="008F1593" w:rsidRDefault="00CF3957" w:rsidP="001E71E3">
            <w:pPr>
              <w:keepNext/>
              <w:rPr>
                <w:sz w:val="16"/>
                <w:szCs w:val="16"/>
              </w:rPr>
            </w:pPr>
            <w:r w:rsidRPr="008F1593">
              <w:rPr>
                <w:sz w:val="16"/>
                <w:szCs w:val="16"/>
              </w:rPr>
              <w:t>Obveznice - Serija 32 D-25, 253A</w:t>
            </w:r>
          </w:p>
        </w:tc>
        <w:tc>
          <w:tcPr>
            <w:tcW w:w="965" w:type="dxa"/>
            <w:tcBorders>
              <w:top w:val="nil"/>
              <w:left w:val="nil"/>
              <w:bottom w:val="single" w:sz="4" w:space="0" w:color="auto"/>
              <w:right w:val="single" w:sz="4" w:space="0" w:color="auto"/>
            </w:tcBorders>
            <w:shd w:val="clear" w:color="auto" w:fill="auto"/>
            <w:noWrap/>
            <w:vAlign w:val="bottom"/>
            <w:hideMark/>
          </w:tcPr>
          <w:p w14:paraId="4E0D9096"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7970A993" w14:textId="77777777" w:rsidR="00CF3957" w:rsidRPr="008F1593" w:rsidRDefault="00CF3957" w:rsidP="001E71E3">
            <w:pPr>
              <w:keepNext/>
              <w:jc w:val="right"/>
              <w:rPr>
                <w:sz w:val="16"/>
                <w:szCs w:val="16"/>
              </w:rPr>
            </w:pPr>
            <w:r w:rsidRPr="008F1593">
              <w:rPr>
                <w:sz w:val="16"/>
                <w:szCs w:val="16"/>
              </w:rPr>
              <w:t>5.000.000.000,00</w:t>
            </w:r>
          </w:p>
        </w:tc>
        <w:tc>
          <w:tcPr>
            <w:tcW w:w="1880" w:type="dxa"/>
            <w:tcBorders>
              <w:top w:val="nil"/>
              <w:left w:val="nil"/>
              <w:bottom w:val="single" w:sz="4" w:space="0" w:color="auto"/>
              <w:right w:val="single" w:sz="4" w:space="0" w:color="auto"/>
            </w:tcBorders>
            <w:shd w:val="clear" w:color="auto" w:fill="auto"/>
            <w:noWrap/>
            <w:vAlign w:val="bottom"/>
            <w:hideMark/>
          </w:tcPr>
          <w:p w14:paraId="7226597F" w14:textId="77777777" w:rsidR="00CF3957" w:rsidRPr="008F1593" w:rsidRDefault="00CF3957" w:rsidP="001E71E3">
            <w:pPr>
              <w:keepNext/>
              <w:jc w:val="right"/>
              <w:rPr>
                <w:sz w:val="16"/>
                <w:szCs w:val="16"/>
              </w:rPr>
            </w:pPr>
            <w:r w:rsidRPr="008F1593">
              <w:rPr>
                <w:sz w:val="16"/>
                <w:szCs w:val="16"/>
              </w:rPr>
              <w:t>5.000.000.000,00</w:t>
            </w:r>
          </w:p>
        </w:tc>
      </w:tr>
      <w:tr w:rsidR="00CF3957" w:rsidRPr="008F1593" w14:paraId="36E3EEA3"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AFC788" w14:textId="77777777" w:rsidR="00CF3957" w:rsidRPr="008F1593" w:rsidRDefault="00CF3957" w:rsidP="001E71E3">
            <w:pPr>
              <w:keepNext/>
              <w:jc w:val="center"/>
              <w:rPr>
                <w:sz w:val="16"/>
                <w:szCs w:val="16"/>
              </w:rPr>
            </w:pPr>
            <w:r w:rsidRPr="008F1593">
              <w:rPr>
                <w:sz w:val="16"/>
                <w:szCs w:val="16"/>
              </w:rPr>
              <w:t>12.</w:t>
            </w:r>
          </w:p>
        </w:tc>
        <w:tc>
          <w:tcPr>
            <w:tcW w:w="4138" w:type="dxa"/>
            <w:tcBorders>
              <w:top w:val="nil"/>
              <w:left w:val="nil"/>
              <w:bottom w:val="single" w:sz="4" w:space="0" w:color="auto"/>
              <w:right w:val="single" w:sz="4" w:space="0" w:color="auto"/>
            </w:tcBorders>
            <w:shd w:val="clear" w:color="auto" w:fill="auto"/>
            <w:noWrap/>
            <w:vAlign w:val="bottom"/>
            <w:hideMark/>
          </w:tcPr>
          <w:p w14:paraId="14866ECC" w14:textId="77777777" w:rsidR="00CF3957" w:rsidRPr="008F1593" w:rsidRDefault="00CF3957" w:rsidP="001E71E3">
            <w:pPr>
              <w:keepNext/>
              <w:rPr>
                <w:sz w:val="16"/>
                <w:szCs w:val="16"/>
              </w:rPr>
            </w:pPr>
            <w:r w:rsidRPr="008F1593">
              <w:rPr>
                <w:sz w:val="16"/>
                <w:szCs w:val="16"/>
              </w:rPr>
              <w:t>Obveznice - Serija 33 D-27, 275E</w:t>
            </w:r>
          </w:p>
        </w:tc>
        <w:tc>
          <w:tcPr>
            <w:tcW w:w="965" w:type="dxa"/>
            <w:tcBorders>
              <w:top w:val="nil"/>
              <w:left w:val="nil"/>
              <w:bottom w:val="single" w:sz="4" w:space="0" w:color="auto"/>
              <w:right w:val="single" w:sz="4" w:space="0" w:color="auto"/>
            </w:tcBorders>
            <w:shd w:val="clear" w:color="auto" w:fill="auto"/>
            <w:noWrap/>
            <w:vAlign w:val="bottom"/>
            <w:hideMark/>
          </w:tcPr>
          <w:p w14:paraId="0455390B" w14:textId="77777777" w:rsidR="00CF3957" w:rsidRPr="008F1593" w:rsidRDefault="00CF3957" w:rsidP="001E71E3">
            <w:pPr>
              <w:keepNext/>
              <w:jc w:val="center"/>
              <w:rPr>
                <w:sz w:val="16"/>
                <w:szCs w:val="16"/>
              </w:rPr>
            </w:pPr>
            <w:r w:rsidRPr="008F1593">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5479FF8F" w14:textId="77777777" w:rsidR="00CF3957" w:rsidRPr="008F1593" w:rsidRDefault="00CF3957" w:rsidP="001E71E3">
            <w:pPr>
              <w:keepNext/>
              <w:jc w:val="right"/>
              <w:rPr>
                <w:sz w:val="16"/>
                <w:szCs w:val="16"/>
              </w:rPr>
            </w:pPr>
            <w:r w:rsidRPr="008F1593">
              <w:rPr>
                <w:sz w:val="16"/>
                <w:szCs w:val="16"/>
              </w:rPr>
              <w:t>1.445.000.000,00</w:t>
            </w:r>
          </w:p>
        </w:tc>
        <w:tc>
          <w:tcPr>
            <w:tcW w:w="1880" w:type="dxa"/>
            <w:tcBorders>
              <w:top w:val="nil"/>
              <w:left w:val="nil"/>
              <w:bottom w:val="single" w:sz="4" w:space="0" w:color="auto"/>
              <w:right w:val="single" w:sz="4" w:space="0" w:color="auto"/>
            </w:tcBorders>
            <w:shd w:val="clear" w:color="auto" w:fill="auto"/>
            <w:noWrap/>
            <w:vAlign w:val="bottom"/>
            <w:hideMark/>
          </w:tcPr>
          <w:p w14:paraId="674E035D" w14:textId="77777777" w:rsidR="00CF3957" w:rsidRPr="008F1593" w:rsidRDefault="00CF3957" w:rsidP="001E71E3">
            <w:pPr>
              <w:keepNext/>
              <w:jc w:val="right"/>
              <w:rPr>
                <w:sz w:val="16"/>
                <w:szCs w:val="16"/>
              </w:rPr>
            </w:pPr>
            <w:r w:rsidRPr="008F1593">
              <w:rPr>
                <w:sz w:val="16"/>
                <w:szCs w:val="16"/>
              </w:rPr>
              <w:t>10.887.352.500,00</w:t>
            </w:r>
          </w:p>
        </w:tc>
      </w:tr>
      <w:tr w:rsidR="00CF3957" w:rsidRPr="008F1593" w14:paraId="38279E84"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46B39C" w14:textId="77777777" w:rsidR="00CF3957" w:rsidRPr="008F1593" w:rsidRDefault="00CF3957" w:rsidP="001E71E3">
            <w:pPr>
              <w:keepNext/>
              <w:jc w:val="center"/>
              <w:rPr>
                <w:sz w:val="16"/>
                <w:szCs w:val="16"/>
              </w:rPr>
            </w:pPr>
            <w:r w:rsidRPr="008F1593">
              <w:rPr>
                <w:sz w:val="16"/>
                <w:szCs w:val="16"/>
              </w:rPr>
              <w:t>13.</w:t>
            </w:r>
          </w:p>
        </w:tc>
        <w:tc>
          <w:tcPr>
            <w:tcW w:w="4138" w:type="dxa"/>
            <w:tcBorders>
              <w:top w:val="nil"/>
              <w:left w:val="nil"/>
              <w:bottom w:val="single" w:sz="4" w:space="0" w:color="auto"/>
              <w:right w:val="single" w:sz="4" w:space="0" w:color="auto"/>
            </w:tcBorders>
            <w:shd w:val="clear" w:color="auto" w:fill="auto"/>
            <w:noWrap/>
            <w:vAlign w:val="bottom"/>
            <w:hideMark/>
          </w:tcPr>
          <w:p w14:paraId="7065640D" w14:textId="77777777" w:rsidR="00CF3957" w:rsidRPr="008F1593" w:rsidRDefault="00CF3957" w:rsidP="001E71E3">
            <w:pPr>
              <w:keepNext/>
              <w:rPr>
                <w:sz w:val="16"/>
                <w:szCs w:val="16"/>
              </w:rPr>
            </w:pPr>
            <w:r w:rsidRPr="008F1593">
              <w:rPr>
                <w:sz w:val="16"/>
                <w:szCs w:val="16"/>
              </w:rPr>
              <w:t>Obveznice - Serija 34 D-28, 287A</w:t>
            </w:r>
          </w:p>
        </w:tc>
        <w:tc>
          <w:tcPr>
            <w:tcW w:w="965" w:type="dxa"/>
            <w:tcBorders>
              <w:top w:val="nil"/>
              <w:left w:val="nil"/>
              <w:bottom w:val="single" w:sz="4" w:space="0" w:color="auto"/>
              <w:right w:val="single" w:sz="4" w:space="0" w:color="auto"/>
            </w:tcBorders>
            <w:shd w:val="clear" w:color="auto" w:fill="auto"/>
            <w:noWrap/>
            <w:vAlign w:val="bottom"/>
            <w:hideMark/>
          </w:tcPr>
          <w:p w14:paraId="7CBC34A4" w14:textId="77777777" w:rsidR="00CF3957" w:rsidRPr="008F1593" w:rsidRDefault="00CF3957" w:rsidP="001E71E3">
            <w:pPr>
              <w:keepNext/>
              <w:jc w:val="center"/>
              <w:rPr>
                <w:sz w:val="16"/>
                <w:szCs w:val="16"/>
              </w:rPr>
            </w:pPr>
            <w:r w:rsidRPr="008F1593">
              <w:rPr>
                <w:sz w:val="16"/>
                <w:szCs w:val="16"/>
              </w:rPr>
              <w:t>HRK</w:t>
            </w:r>
          </w:p>
        </w:tc>
        <w:tc>
          <w:tcPr>
            <w:tcW w:w="1700" w:type="dxa"/>
            <w:tcBorders>
              <w:top w:val="nil"/>
              <w:left w:val="nil"/>
              <w:bottom w:val="single" w:sz="4" w:space="0" w:color="auto"/>
              <w:right w:val="single" w:sz="4" w:space="0" w:color="auto"/>
            </w:tcBorders>
            <w:shd w:val="clear" w:color="auto" w:fill="auto"/>
            <w:noWrap/>
            <w:vAlign w:val="bottom"/>
            <w:hideMark/>
          </w:tcPr>
          <w:p w14:paraId="5B3C6366" w14:textId="77777777" w:rsidR="00CF3957" w:rsidRPr="008F1593" w:rsidRDefault="00CF3957" w:rsidP="001E71E3">
            <w:pPr>
              <w:keepNext/>
              <w:jc w:val="right"/>
              <w:rPr>
                <w:sz w:val="16"/>
                <w:szCs w:val="16"/>
              </w:rPr>
            </w:pPr>
            <w:r w:rsidRPr="008F1593">
              <w:rPr>
                <w:sz w:val="16"/>
                <w:szCs w:val="16"/>
              </w:rPr>
              <w:t>9.000.000.000,00</w:t>
            </w:r>
          </w:p>
        </w:tc>
        <w:tc>
          <w:tcPr>
            <w:tcW w:w="1880" w:type="dxa"/>
            <w:tcBorders>
              <w:top w:val="nil"/>
              <w:left w:val="nil"/>
              <w:bottom w:val="single" w:sz="4" w:space="0" w:color="auto"/>
              <w:right w:val="single" w:sz="4" w:space="0" w:color="auto"/>
            </w:tcBorders>
            <w:shd w:val="clear" w:color="auto" w:fill="auto"/>
            <w:noWrap/>
            <w:vAlign w:val="bottom"/>
            <w:hideMark/>
          </w:tcPr>
          <w:p w14:paraId="36BE2895" w14:textId="77777777" w:rsidR="00CF3957" w:rsidRPr="008F1593" w:rsidRDefault="00CF3957" w:rsidP="001E71E3">
            <w:pPr>
              <w:keepNext/>
              <w:jc w:val="right"/>
              <w:rPr>
                <w:sz w:val="16"/>
                <w:szCs w:val="16"/>
              </w:rPr>
            </w:pPr>
            <w:r w:rsidRPr="008F1593">
              <w:rPr>
                <w:sz w:val="16"/>
                <w:szCs w:val="16"/>
              </w:rPr>
              <w:t>9.000.000.000,00</w:t>
            </w:r>
          </w:p>
        </w:tc>
      </w:tr>
      <w:tr w:rsidR="00CF3957" w:rsidRPr="008F1593" w14:paraId="19065D1F"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F9053E" w14:textId="77777777" w:rsidR="00CF3957" w:rsidRPr="008F1593" w:rsidRDefault="00CF3957" w:rsidP="001E71E3">
            <w:pPr>
              <w:keepNext/>
              <w:jc w:val="center"/>
              <w:rPr>
                <w:sz w:val="16"/>
                <w:szCs w:val="16"/>
              </w:rPr>
            </w:pPr>
            <w:r w:rsidRPr="008F1593">
              <w:rPr>
                <w:sz w:val="16"/>
                <w:szCs w:val="16"/>
              </w:rPr>
              <w:t>14.</w:t>
            </w:r>
          </w:p>
        </w:tc>
        <w:tc>
          <w:tcPr>
            <w:tcW w:w="4138" w:type="dxa"/>
            <w:tcBorders>
              <w:top w:val="nil"/>
              <w:left w:val="nil"/>
              <w:bottom w:val="single" w:sz="4" w:space="0" w:color="auto"/>
              <w:right w:val="single" w:sz="4" w:space="0" w:color="auto"/>
            </w:tcBorders>
            <w:shd w:val="clear" w:color="auto" w:fill="auto"/>
            <w:noWrap/>
            <w:vAlign w:val="bottom"/>
            <w:hideMark/>
          </w:tcPr>
          <w:p w14:paraId="064B0CD2" w14:textId="77777777" w:rsidR="00CF3957" w:rsidRPr="008F1593" w:rsidRDefault="00CF3957" w:rsidP="001E71E3">
            <w:pPr>
              <w:keepNext/>
              <w:rPr>
                <w:sz w:val="16"/>
                <w:szCs w:val="16"/>
              </w:rPr>
            </w:pPr>
            <w:r w:rsidRPr="008F1593">
              <w:rPr>
                <w:sz w:val="16"/>
                <w:szCs w:val="16"/>
              </w:rPr>
              <w:t>Obveznice - Serija 35 D-30, 302E</w:t>
            </w:r>
          </w:p>
        </w:tc>
        <w:tc>
          <w:tcPr>
            <w:tcW w:w="965" w:type="dxa"/>
            <w:tcBorders>
              <w:top w:val="nil"/>
              <w:left w:val="nil"/>
              <w:bottom w:val="single" w:sz="4" w:space="0" w:color="auto"/>
              <w:right w:val="single" w:sz="4" w:space="0" w:color="auto"/>
            </w:tcBorders>
            <w:shd w:val="clear" w:color="auto" w:fill="auto"/>
            <w:noWrap/>
            <w:vAlign w:val="bottom"/>
            <w:hideMark/>
          </w:tcPr>
          <w:p w14:paraId="083779FB" w14:textId="77777777" w:rsidR="00CF3957" w:rsidRPr="008F1593" w:rsidRDefault="00CF3957" w:rsidP="001E71E3">
            <w:pPr>
              <w:keepNext/>
              <w:jc w:val="center"/>
              <w:rPr>
                <w:sz w:val="16"/>
                <w:szCs w:val="16"/>
              </w:rPr>
            </w:pPr>
            <w:r w:rsidRPr="008F1593">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534F53AC" w14:textId="77777777" w:rsidR="00CF3957" w:rsidRPr="008F1593" w:rsidRDefault="00CF3957" w:rsidP="001E71E3">
            <w:pPr>
              <w:keepNext/>
              <w:jc w:val="right"/>
              <w:rPr>
                <w:sz w:val="16"/>
                <w:szCs w:val="16"/>
              </w:rPr>
            </w:pPr>
            <w:r w:rsidRPr="008F1593">
              <w:rPr>
                <w:sz w:val="16"/>
                <w:szCs w:val="16"/>
              </w:rPr>
              <w:t>1.000.000.000,00</w:t>
            </w:r>
          </w:p>
        </w:tc>
        <w:tc>
          <w:tcPr>
            <w:tcW w:w="1880" w:type="dxa"/>
            <w:tcBorders>
              <w:top w:val="nil"/>
              <w:left w:val="nil"/>
              <w:bottom w:val="single" w:sz="4" w:space="0" w:color="auto"/>
              <w:right w:val="single" w:sz="4" w:space="0" w:color="auto"/>
            </w:tcBorders>
            <w:shd w:val="clear" w:color="auto" w:fill="auto"/>
            <w:noWrap/>
            <w:vAlign w:val="bottom"/>
            <w:hideMark/>
          </w:tcPr>
          <w:p w14:paraId="2549BDE2" w14:textId="77777777" w:rsidR="00CF3957" w:rsidRPr="008F1593" w:rsidRDefault="00CF3957" w:rsidP="001E71E3">
            <w:pPr>
              <w:keepNext/>
              <w:jc w:val="right"/>
              <w:rPr>
                <w:sz w:val="16"/>
                <w:szCs w:val="16"/>
              </w:rPr>
            </w:pPr>
            <w:r w:rsidRPr="008F1593">
              <w:rPr>
                <w:sz w:val="16"/>
                <w:szCs w:val="16"/>
              </w:rPr>
              <w:t>7.534.500.000,00</w:t>
            </w:r>
          </w:p>
        </w:tc>
      </w:tr>
      <w:tr w:rsidR="00CF3957" w:rsidRPr="008F1593" w14:paraId="304907FB"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2F35D2" w14:textId="77777777" w:rsidR="00CF3957" w:rsidRPr="008F1593" w:rsidRDefault="00CF3957" w:rsidP="001E71E3">
            <w:pPr>
              <w:keepNext/>
              <w:jc w:val="center"/>
              <w:rPr>
                <w:sz w:val="16"/>
                <w:szCs w:val="16"/>
              </w:rPr>
            </w:pPr>
            <w:r w:rsidRPr="008F1593">
              <w:rPr>
                <w:sz w:val="16"/>
                <w:szCs w:val="16"/>
              </w:rPr>
              <w:t>15.</w:t>
            </w:r>
          </w:p>
        </w:tc>
        <w:tc>
          <w:tcPr>
            <w:tcW w:w="4138" w:type="dxa"/>
            <w:tcBorders>
              <w:top w:val="nil"/>
              <w:left w:val="nil"/>
              <w:bottom w:val="single" w:sz="4" w:space="0" w:color="auto"/>
              <w:right w:val="single" w:sz="4" w:space="0" w:color="auto"/>
            </w:tcBorders>
            <w:shd w:val="clear" w:color="auto" w:fill="auto"/>
            <w:noWrap/>
            <w:vAlign w:val="bottom"/>
            <w:hideMark/>
          </w:tcPr>
          <w:p w14:paraId="42307EAC" w14:textId="77777777" w:rsidR="00CF3957" w:rsidRPr="008F1593" w:rsidRDefault="00CF3957" w:rsidP="001E71E3">
            <w:pPr>
              <w:keepNext/>
              <w:rPr>
                <w:sz w:val="16"/>
                <w:szCs w:val="16"/>
              </w:rPr>
            </w:pPr>
            <w:r w:rsidRPr="008F1593">
              <w:rPr>
                <w:sz w:val="16"/>
                <w:szCs w:val="16"/>
              </w:rPr>
              <w:t>Obveznice - Serija 36 D-26, 267E</w:t>
            </w:r>
          </w:p>
        </w:tc>
        <w:tc>
          <w:tcPr>
            <w:tcW w:w="965" w:type="dxa"/>
            <w:tcBorders>
              <w:top w:val="nil"/>
              <w:left w:val="nil"/>
              <w:bottom w:val="single" w:sz="4" w:space="0" w:color="auto"/>
              <w:right w:val="single" w:sz="4" w:space="0" w:color="auto"/>
            </w:tcBorders>
            <w:shd w:val="clear" w:color="auto" w:fill="auto"/>
            <w:noWrap/>
            <w:vAlign w:val="bottom"/>
            <w:hideMark/>
          </w:tcPr>
          <w:p w14:paraId="59786DF7" w14:textId="77777777" w:rsidR="00CF3957" w:rsidRPr="008F1593" w:rsidRDefault="00CF3957" w:rsidP="001E71E3">
            <w:pPr>
              <w:keepNext/>
              <w:jc w:val="center"/>
              <w:rPr>
                <w:sz w:val="16"/>
                <w:szCs w:val="16"/>
              </w:rPr>
            </w:pPr>
            <w:r w:rsidRPr="008F1593">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7C1F82A1" w14:textId="77777777" w:rsidR="00CF3957" w:rsidRPr="008F1593" w:rsidRDefault="00CF3957" w:rsidP="001E71E3">
            <w:pPr>
              <w:keepNext/>
              <w:jc w:val="right"/>
              <w:rPr>
                <w:sz w:val="16"/>
                <w:szCs w:val="16"/>
              </w:rPr>
            </w:pPr>
            <w:r w:rsidRPr="008F1593">
              <w:rPr>
                <w:sz w:val="16"/>
                <w:szCs w:val="16"/>
              </w:rPr>
              <w:t>400.000.000,00</w:t>
            </w:r>
          </w:p>
        </w:tc>
        <w:tc>
          <w:tcPr>
            <w:tcW w:w="1880" w:type="dxa"/>
            <w:tcBorders>
              <w:top w:val="nil"/>
              <w:left w:val="nil"/>
              <w:bottom w:val="single" w:sz="4" w:space="0" w:color="auto"/>
              <w:right w:val="single" w:sz="4" w:space="0" w:color="auto"/>
            </w:tcBorders>
            <w:shd w:val="clear" w:color="auto" w:fill="auto"/>
            <w:noWrap/>
            <w:vAlign w:val="bottom"/>
            <w:hideMark/>
          </w:tcPr>
          <w:p w14:paraId="5FE35BE3" w14:textId="77777777" w:rsidR="00CF3957" w:rsidRPr="008F1593" w:rsidRDefault="00CF3957" w:rsidP="001E71E3">
            <w:pPr>
              <w:keepNext/>
              <w:jc w:val="right"/>
              <w:rPr>
                <w:sz w:val="16"/>
                <w:szCs w:val="16"/>
              </w:rPr>
            </w:pPr>
            <w:r w:rsidRPr="008F1593">
              <w:rPr>
                <w:sz w:val="16"/>
                <w:szCs w:val="16"/>
              </w:rPr>
              <w:t>3.013.800.000,00</w:t>
            </w:r>
          </w:p>
        </w:tc>
      </w:tr>
      <w:tr w:rsidR="00CF3957" w:rsidRPr="008F1593" w14:paraId="416F1C0D" w14:textId="77777777" w:rsidTr="001E71E3">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C3ECF7" w14:textId="77777777" w:rsidR="00CF3957" w:rsidRPr="008F1593" w:rsidRDefault="00CF3957" w:rsidP="001E71E3">
            <w:pPr>
              <w:keepNext/>
              <w:jc w:val="center"/>
              <w:rPr>
                <w:sz w:val="16"/>
                <w:szCs w:val="16"/>
              </w:rPr>
            </w:pPr>
            <w:r w:rsidRPr="008F1593">
              <w:rPr>
                <w:sz w:val="16"/>
                <w:szCs w:val="16"/>
              </w:rPr>
              <w:t>16.</w:t>
            </w:r>
          </w:p>
        </w:tc>
        <w:tc>
          <w:tcPr>
            <w:tcW w:w="4138" w:type="dxa"/>
            <w:tcBorders>
              <w:top w:val="nil"/>
              <w:left w:val="nil"/>
              <w:bottom w:val="single" w:sz="4" w:space="0" w:color="auto"/>
              <w:right w:val="single" w:sz="4" w:space="0" w:color="auto"/>
            </w:tcBorders>
            <w:shd w:val="clear" w:color="auto" w:fill="auto"/>
            <w:noWrap/>
            <w:vAlign w:val="bottom"/>
            <w:hideMark/>
          </w:tcPr>
          <w:p w14:paraId="0366B632" w14:textId="77777777" w:rsidR="00CF3957" w:rsidRPr="008F1593" w:rsidRDefault="00CF3957" w:rsidP="001E71E3">
            <w:pPr>
              <w:keepNext/>
              <w:rPr>
                <w:sz w:val="16"/>
                <w:szCs w:val="16"/>
              </w:rPr>
            </w:pPr>
            <w:r w:rsidRPr="008F1593">
              <w:rPr>
                <w:sz w:val="16"/>
                <w:szCs w:val="16"/>
              </w:rPr>
              <w:t>Obveznice - Serija 37 D-32, 327E</w:t>
            </w:r>
          </w:p>
        </w:tc>
        <w:tc>
          <w:tcPr>
            <w:tcW w:w="965" w:type="dxa"/>
            <w:tcBorders>
              <w:top w:val="nil"/>
              <w:left w:val="nil"/>
              <w:bottom w:val="single" w:sz="4" w:space="0" w:color="auto"/>
              <w:right w:val="single" w:sz="4" w:space="0" w:color="auto"/>
            </w:tcBorders>
            <w:shd w:val="clear" w:color="auto" w:fill="auto"/>
            <w:noWrap/>
            <w:vAlign w:val="bottom"/>
            <w:hideMark/>
          </w:tcPr>
          <w:p w14:paraId="16685663" w14:textId="77777777" w:rsidR="00CF3957" w:rsidRPr="008F1593" w:rsidRDefault="00CF3957" w:rsidP="001E71E3">
            <w:pPr>
              <w:keepNext/>
              <w:jc w:val="center"/>
              <w:rPr>
                <w:sz w:val="16"/>
                <w:szCs w:val="16"/>
              </w:rPr>
            </w:pPr>
            <w:r w:rsidRPr="008F1593">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3BC6CC9C" w14:textId="77777777" w:rsidR="00CF3957" w:rsidRPr="008F1593" w:rsidRDefault="00CF3957" w:rsidP="001E71E3">
            <w:pPr>
              <w:keepNext/>
              <w:jc w:val="right"/>
              <w:rPr>
                <w:sz w:val="16"/>
                <w:szCs w:val="16"/>
              </w:rPr>
            </w:pPr>
            <w:r w:rsidRPr="008F1593">
              <w:rPr>
                <w:sz w:val="16"/>
                <w:szCs w:val="16"/>
              </w:rPr>
              <w:t>800.000.000,00</w:t>
            </w:r>
          </w:p>
        </w:tc>
        <w:tc>
          <w:tcPr>
            <w:tcW w:w="1880" w:type="dxa"/>
            <w:tcBorders>
              <w:top w:val="nil"/>
              <w:left w:val="nil"/>
              <w:bottom w:val="single" w:sz="4" w:space="0" w:color="auto"/>
              <w:right w:val="single" w:sz="4" w:space="0" w:color="auto"/>
            </w:tcBorders>
            <w:shd w:val="clear" w:color="auto" w:fill="auto"/>
            <w:noWrap/>
            <w:vAlign w:val="bottom"/>
            <w:hideMark/>
          </w:tcPr>
          <w:p w14:paraId="54A462CC" w14:textId="77777777" w:rsidR="00CF3957" w:rsidRPr="008F1593" w:rsidRDefault="00CF3957" w:rsidP="001E71E3">
            <w:pPr>
              <w:keepNext/>
              <w:jc w:val="right"/>
              <w:rPr>
                <w:sz w:val="16"/>
                <w:szCs w:val="16"/>
              </w:rPr>
            </w:pPr>
            <w:r w:rsidRPr="008F1593">
              <w:rPr>
                <w:sz w:val="16"/>
                <w:szCs w:val="16"/>
              </w:rPr>
              <w:t>6.027.600.000,00</w:t>
            </w:r>
          </w:p>
        </w:tc>
      </w:tr>
      <w:tr w:rsidR="00CF3957" w:rsidRPr="008F1593" w14:paraId="42F1C44D" w14:textId="77777777" w:rsidTr="001E71E3">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06CC" w14:textId="77777777" w:rsidR="00CF3957" w:rsidRPr="008F1593" w:rsidRDefault="00CF3957" w:rsidP="001E71E3">
            <w:pPr>
              <w:keepNext/>
              <w:jc w:val="center"/>
              <w:rPr>
                <w:sz w:val="16"/>
                <w:szCs w:val="16"/>
              </w:rPr>
            </w:pPr>
            <w:r w:rsidRPr="008F1593">
              <w:rPr>
                <w:sz w:val="16"/>
                <w:szCs w:val="16"/>
              </w:rPr>
              <w:t> </w:t>
            </w:r>
          </w:p>
        </w:tc>
        <w:tc>
          <w:tcPr>
            <w:tcW w:w="4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5A569" w14:textId="77777777" w:rsidR="00CF3957" w:rsidRPr="008F1593" w:rsidRDefault="00CF3957" w:rsidP="001E71E3">
            <w:pPr>
              <w:keepNext/>
              <w:rPr>
                <w:b/>
                <w:bCs/>
                <w:sz w:val="16"/>
                <w:szCs w:val="16"/>
              </w:rPr>
            </w:pPr>
            <w:r>
              <w:rPr>
                <w:b/>
                <w:bCs/>
                <w:sz w:val="16"/>
                <w:szCs w:val="16"/>
              </w:rPr>
              <w:t>UKUPNO</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79D29" w14:textId="77777777" w:rsidR="00CF3957" w:rsidRPr="008F1593" w:rsidRDefault="00CF3957" w:rsidP="001E71E3">
            <w:pPr>
              <w:keepNext/>
              <w:jc w:val="center"/>
              <w:rPr>
                <w:b/>
                <w:bCs/>
                <w:sz w:val="16"/>
                <w:szCs w:val="16"/>
              </w:rPr>
            </w:pPr>
            <w:r w:rsidRPr="008F1593">
              <w:rPr>
                <w:b/>
                <w:bCs/>
                <w:sz w:val="16"/>
                <w:szCs w:val="16"/>
              </w:rPr>
              <w:t>EUR</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51D03" w14:textId="77777777" w:rsidR="00CF3957" w:rsidRPr="008F1593" w:rsidRDefault="00CF3957" w:rsidP="001E71E3">
            <w:pPr>
              <w:keepNext/>
              <w:jc w:val="right"/>
              <w:rPr>
                <w:b/>
                <w:bCs/>
                <w:sz w:val="16"/>
                <w:szCs w:val="16"/>
              </w:rPr>
            </w:pPr>
            <w:r w:rsidRPr="008F1593">
              <w:rPr>
                <w:b/>
                <w:bCs/>
                <w:sz w:val="16"/>
                <w:szCs w:val="16"/>
              </w:rPr>
              <w:t>5.845.000.000,00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6E451" w14:textId="77777777" w:rsidR="00CF3957" w:rsidRPr="008F1593" w:rsidRDefault="00CF3957" w:rsidP="001E71E3">
            <w:pPr>
              <w:keepNext/>
              <w:jc w:val="right"/>
              <w:rPr>
                <w:b/>
                <w:bCs/>
                <w:sz w:val="16"/>
                <w:szCs w:val="16"/>
              </w:rPr>
            </w:pPr>
            <w:r w:rsidRPr="008F1593">
              <w:rPr>
                <w:b/>
                <w:bCs/>
                <w:sz w:val="16"/>
                <w:szCs w:val="16"/>
              </w:rPr>
              <w:t>44.039.152.500,00</w:t>
            </w:r>
          </w:p>
        </w:tc>
      </w:tr>
      <w:tr w:rsidR="00CF3957" w:rsidRPr="008F1593" w14:paraId="6AC5E8A0" w14:textId="77777777" w:rsidTr="001E71E3">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A5BF" w14:textId="77777777" w:rsidR="00CF3957" w:rsidRPr="008F1593" w:rsidRDefault="00CF3957" w:rsidP="001E71E3">
            <w:pPr>
              <w:keepNext/>
              <w:jc w:val="center"/>
              <w:rPr>
                <w:sz w:val="16"/>
                <w:szCs w:val="16"/>
              </w:rPr>
            </w:pPr>
            <w:r w:rsidRPr="008F1593">
              <w:rPr>
                <w:sz w:val="16"/>
                <w:szCs w:val="16"/>
              </w:rPr>
              <w:t> </w:t>
            </w:r>
          </w:p>
        </w:tc>
        <w:tc>
          <w:tcPr>
            <w:tcW w:w="4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7802E" w14:textId="77777777" w:rsidR="00CF3957" w:rsidRPr="008F1593" w:rsidRDefault="00CF3957" w:rsidP="001E71E3">
            <w:pPr>
              <w:keepNext/>
              <w:rPr>
                <w:b/>
                <w:bCs/>
                <w:sz w:val="16"/>
                <w:szCs w:val="16"/>
              </w:rPr>
            </w:pPr>
            <w:r>
              <w:rPr>
                <w:b/>
                <w:bCs/>
                <w:sz w:val="16"/>
                <w:szCs w:val="16"/>
              </w:rPr>
              <w:t>UKUPNO</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3EDB" w14:textId="77777777" w:rsidR="00CF3957" w:rsidRPr="008F1593" w:rsidRDefault="00CF3957" w:rsidP="001E71E3">
            <w:pPr>
              <w:keepNext/>
              <w:jc w:val="center"/>
              <w:rPr>
                <w:b/>
                <w:bCs/>
                <w:sz w:val="16"/>
                <w:szCs w:val="16"/>
              </w:rPr>
            </w:pPr>
            <w:r w:rsidRPr="008F1593">
              <w:rPr>
                <w:b/>
                <w:bCs/>
                <w:sz w:val="16"/>
                <w:szCs w:val="16"/>
              </w:rPr>
              <w:t>HRK</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0F861" w14:textId="77777777" w:rsidR="00CF3957" w:rsidRPr="008F1593" w:rsidRDefault="00CF3957" w:rsidP="001E71E3">
            <w:pPr>
              <w:keepNext/>
              <w:jc w:val="right"/>
              <w:rPr>
                <w:b/>
                <w:bCs/>
                <w:sz w:val="16"/>
                <w:szCs w:val="16"/>
              </w:rPr>
            </w:pPr>
            <w:r w:rsidRPr="008F1593">
              <w:rPr>
                <w:b/>
                <w:bCs/>
                <w:sz w:val="16"/>
                <w:szCs w:val="16"/>
              </w:rPr>
              <w:t>79.850.000.000,00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6A26" w14:textId="77777777" w:rsidR="00CF3957" w:rsidRPr="008F1593" w:rsidRDefault="00CF3957" w:rsidP="001E71E3">
            <w:pPr>
              <w:keepNext/>
              <w:jc w:val="right"/>
              <w:rPr>
                <w:b/>
                <w:bCs/>
                <w:sz w:val="16"/>
                <w:szCs w:val="16"/>
              </w:rPr>
            </w:pPr>
            <w:r w:rsidRPr="008F1593">
              <w:rPr>
                <w:b/>
                <w:bCs/>
                <w:sz w:val="16"/>
                <w:szCs w:val="16"/>
              </w:rPr>
              <w:t>79.850.000.000,00</w:t>
            </w:r>
          </w:p>
        </w:tc>
      </w:tr>
      <w:tr w:rsidR="00CF3957" w:rsidRPr="008F1593" w14:paraId="46874B9A" w14:textId="77777777" w:rsidTr="001E71E3">
        <w:trPr>
          <w:trHeight w:val="206"/>
        </w:trPr>
        <w:tc>
          <w:tcPr>
            <w:tcW w:w="75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4480" w14:textId="77777777" w:rsidR="00CF3957" w:rsidRPr="001012ED" w:rsidRDefault="00CF3957" w:rsidP="001E71E3">
            <w:pPr>
              <w:keepNext/>
              <w:rPr>
                <w:b/>
                <w:sz w:val="16"/>
                <w:szCs w:val="16"/>
              </w:rPr>
            </w:pPr>
            <w:r w:rsidRPr="001012ED">
              <w:rPr>
                <w:b/>
                <w:sz w:val="16"/>
                <w:szCs w:val="16"/>
              </w:rPr>
              <w:t>SVEUKUPNO</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CC5F" w14:textId="77777777" w:rsidR="00CF3957" w:rsidRPr="008F1593" w:rsidRDefault="00CF3957" w:rsidP="001E71E3">
            <w:pPr>
              <w:keepNext/>
              <w:jc w:val="right"/>
              <w:rPr>
                <w:b/>
                <w:bCs/>
                <w:sz w:val="16"/>
                <w:szCs w:val="16"/>
              </w:rPr>
            </w:pPr>
            <w:r w:rsidRPr="008F1593">
              <w:rPr>
                <w:b/>
                <w:bCs/>
                <w:sz w:val="16"/>
                <w:szCs w:val="16"/>
              </w:rPr>
              <w:t>123.889.152.500,00</w:t>
            </w:r>
          </w:p>
        </w:tc>
      </w:tr>
    </w:tbl>
    <w:p w14:paraId="4F6C2CC9" w14:textId="77777777" w:rsidR="00CF3957" w:rsidRDefault="00CF3957" w:rsidP="00CF3957">
      <w:pPr>
        <w:jc w:val="both"/>
      </w:pPr>
    </w:p>
    <w:p w14:paraId="03FEECB2" w14:textId="77777777" w:rsidR="00CF3957" w:rsidRPr="00F53C45" w:rsidRDefault="00CF3957" w:rsidP="00CF3957">
      <w:pPr>
        <w:spacing w:before="120" w:after="120"/>
        <w:jc w:val="both"/>
      </w:pPr>
      <w:r w:rsidRPr="00F53C45">
        <w:t xml:space="preserve">Republika Hrvatska zastupana po Ministarstvu financija je 1. veljače 2022. godine donijela odluku o izdavanju obveznica uz plasman na domaćem tržištu kapitala u iznosu od 1 milijarde eura uz valutnu klauzulu. Obveznice su izdane po cijeni 98,943% nominalnog iznosa, uz nepromjenjivi kamatni kupon od 1,25% godišnje, što čini prinos do dospijeća od 1,39% godišnje. Kamatni kupon isplaćivati će se polugodišnje, a glavnica u cijelosti po dospijeću. Datum izdanja, odnosno uvrštenja obveznica u usluge </w:t>
      </w:r>
      <w:proofErr w:type="spellStart"/>
      <w:r w:rsidRPr="00F53C45">
        <w:t>depozitorija</w:t>
      </w:r>
      <w:proofErr w:type="spellEnd"/>
      <w:r w:rsidRPr="00F53C45">
        <w:t>, poravnanja i namire Središnjeg klirinškog depozitarnog društva d.d. je 4. veljače 2022.</w:t>
      </w:r>
      <w:r>
        <w:t xml:space="preserve"> godine</w:t>
      </w:r>
      <w:r w:rsidRPr="00F53C45">
        <w:t>, a dospijeće obveznica je 4. veljače 2030.</w:t>
      </w:r>
      <w:r>
        <w:t xml:space="preserve"> godine.</w:t>
      </w:r>
      <w:r w:rsidRPr="00F53C45">
        <w:t xml:space="preserve"> Sredstva prikupljena ovim izdanjem upotrijebljena su primarno za otplatu obveznica u iznosu od 500 milijuna eura uz valutnu klauzulu, dospijeća 5. veljače 2022.</w:t>
      </w:r>
      <w:r>
        <w:t xml:space="preserve"> godine</w:t>
      </w:r>
      <w:r w:rsidRPr="00F53C45">
        <w:t xml:space="preserve"> i obveznica u nominalnom iznosu od 3 milijarde kuna dospijeća 7. veljače 2022. godine te za financiranje općih potreba državnog proračuna.</w:t>
      </w:r>
    </w:p>
    <w:p w14:paraId="65CB1BB0" w14:textId="77777777" w:rsidR="00CF3957" w:rsidRPr="003A0C02" w:rsidRDefault="00CF3957" w:rsidP="00CF3957">
      <w:pPr>
        <w:spacing w:before="120" w:after="120"/>
        <w:jc w:val="both"/>
      </w:pPr>
      <w:r w:rsidRPr="003A0C02">
        <w:t>U srpnju su uspješno realizirana izdanja dviju tranši obveznica na domaćem tržištu kapitala.  Obveznice u nominalnom iznosu od 400 milijuna eura uz valutnu klauzulu uplaćene su 15. srpnja 2022.</w:t>
      </w:r>
      <w:r>
        <w:t xml:space="preserve"> godine</w:t>
      </w:r>
      <w:r w:rsidRPr="003A0C02">
        <w:t>, a dospijeće im je 15. srpnja 2026. godine. Izdane su po cijeni 99,828% nominalnog iznosa, uz nepromjenjivi kamatni kupon od 2,125% godišnje, što čini prinos do dospijeća 2,17% godišnje.</w:t>
      </w:r>
    </w:p>
    <w:p w14:paraId="3BF22387" w14:textId="77777777" w:rsidR="00CF3957" w:rsidRPr="003A0C02" w:rsidRDefault="00CF3957" w:rsidP="00CF3957">
      <w:pPr>
        <w:spacing w:before="120" w:after="120"/>
        <w:jc w:val="both"/>
      </w:pPr>
      <w:r w:rsidRPr="003A0C02">
        <w:t xml:space="preserve">Obveznice dospijeća 15. srpnja 2032. godine izdane su u nominalnom iznosu od 800 milijuna eura uz valutnu klauzulu. Obveznice su izdane po cijeni 99,203% nominalnog iznosa, kamatni kupon je nepromjenjiv i iznosi 3,375% godišnje, što čini prinos do dospijeća 3,47% godišnje. Datum izdavanja, odnosno uvrštenja obveznica u usluge </w:t>
      </w:r>
      <w:proofErr w:type="spellStart"/>
      <w:r w:rsidRPr="003A0C02">
        <w:t>depozitorija</w:t>
      </w:r>
      <w:proofErr w:type="spellEnd"/>
      <w:r w:rsidRPr="003A0C02">
        <w:t xml:space="preserve">, poravnanja i namire Središnjeg klirinškog depozitarnog društva d.d. također je 15. srpnja 2022. godine. </w:t>
      </w:r>
    </w:p>
    <w:p w14:paraId="5349BDCB" w14:textId="77777777" w:rsidR="00CF3957" w:rsidRDefault="00CF3957" w:rsidP="00CF3957">
      <w:pPr>
        <w:spacing w:before="120" w:after="120"/>
        <w:jc w:val="both"/>
      </w:pPr>
      <w:r w:rsidRPr="003A0C02">
        <w:t xml:space="preserve">Sredstva prikupljena ovim izdanjima obveznica većim dijelom su se koristila za refinanciranje postojećeg izdanja obveznica, dospijeća 22. srpnja 2022. godine, u ukupnom nominalnom iznosu od 1 milijarde eura. Ove desetogodišnje obveznice su izdane u srpnju 2011. godine uz </w:t>
      </w:r>
      <w:r w:rsidRPr="003A0C02">
        <w:lastRenderedPageBreak/>
        <w:t>nepromjenjivi kamatni kupon od 6,5% godišnje, što implicira uštedu na kamatama u približnom iznosu od 36 milijuna eura, promatrano na godišnjoj razini u odnosu na iznos refinanciranja.</w:t>
      </w:r>
    </w:p>
    <w:p w14:paraId="4F030716" w14:textId="77777777" w:rsidR="00CF3957" w:rsidRDefault="00CF3957" w:rsidP="00CF3957">
      <w:pPr>
        <w:spacing w:before="120" w:after="120"/>
        <w:jc w:val="both"/>
      </w:pPr>
    </w:p>
    <w:p w14:paraId="4233B7E0" w14:textId="77777777" w:rsidR="00CF3957" w:rsidRPr="00D42A73" w:rsidRDefault="00CF3957" w:rsidP="00CF3957">
      <w:pPr>
        <w:jc w:val="center"/>
      </w:pPr>
      <w:r>
        <w:rPr>
          <w:sz w:val="28"/>
        </w:rPr>
        <w:t>Bilješka 22</w:t>
      </w:r>
      <w:r w:rsidRPr="00D42A73">
        <w:rPr>
          <w:sz w:val="28"/>
        </w:rPr>
        <w:t>.</w:t>
      </w:r>
    </w:p>
    <w:p w14:paraId="5521E0E5" w14:textId="77777777" w:rsidR="00CF3957" w:rsidRDefault="00CF3957" w:rsidP="00CF3957">
      <w:pPr>
        <w:jc w:val="center"/>
        <w:rPr>
          <w:sz w:val="28"/>
        </w:rPr>
      </w:pPr>
    </w:p>
    <w:p w14:paraId="0FBD86D6" w14:textId="77777777" w:rsidR="00CF3957" w:rsidRPr="00D42A73" w:rsidRDefault="00CF3957" w:rsidP="00CF3957">
      <w:pPr>
        <w:jc w:val="center"/>
      </w:pPr>
      <w:r>
        <w:rPr>
          <w:sz w:val="28"/>
        </w:rPr>
        <w:t>Šifra 2532</w:t>
      </w:r>
      <w:r w:rsidRPr="00D42A73">
        <w:rPr>
          <w:sz w:val="28"/>
        </w:rPr>
        <w:t xml:space="preserve"> Obveze za mjenice</w:t>
      </w:r>
    </w:p>
    <w:p w14:paraId="74EA8AD1" w14:textId="77777777" w:rsidR="00CF3957" w:rsidRDefault="00CF3957" w:rsidP="00CF3957">
      <w:pPr>
        <w:keepNext/>
        <w:jc w:val="both"/>
      </w:pPr>
    </w:p>
    <w:p w14:paraId="64DC7447" w14:textId="77777777" w:rsidR="00CF3957" w:rsidRDefault="00CF3957" w:rsidP="00CF3957">
      <w:pPr>
        <w:keepNext/>
        <w:jc w:val="both"/>
      </w:pPr>
      <w:r>
        <w:t>Stanje</w:t>
      </w:r>
      <w:r w:rsidRPr="00D42A73">
        <w:t xml:space="preserve"> od </w:t>
      </w:r>
      <w:r>
        <w:t>4.428.600,12</w:t>
      </w:r>
      <w:r w:rsidRPr="00D42A73">
        <w:t xml:space="preserve"> </w:t>
      </w:r>
      <w:r w:rsidRPr="00D42A73">
        <w:rPr>
          <w:bCs/>
        </w:rPr>
        <w:t>kuna</w:t>
      </w:r>
      <w:r>
        <w:rPr>
          <w:bCs/>
        </w:rPr>
        <w:t xml:space="preserve"> na dan 31. prosinca 2022. godine</w:t>
      </w:r>
      <w:r w:rsidRPr="00D42A73">
        <w:t xml:space="preserve"> odnosi se na obveze po izdanim mjenicama za članski kapital </w:t>
      </w:r>
      <w:r>
        <w:t xml:space="preserve">Republike Hrvatske </w:t>
      </w:r>
      <w:r w:rsidRPr="00D42A73">
        <w:t xml:space="preserve">IDA i </w:t>
      </w:r>
      <w:r>
        <w:t>MIGA.  Analitika je dana u Tablici 9</w:t>
      </w:r>
      <w:r w:rsidRPr="00D42A73">
        <w:t>.</w:t>
      </w:r>
    </w:p>
    <w:p w14:paraId="7865A779" w14:textId="77777777" w:rsidR="00CF3957" w:rsidRDefault="00CF3957" w:rsidP="00CF3957">
      <w:pPr>
        <w:jc w:val="both"/>
      </w:pPr>
    </w:p>
    <w:p w14:paraId="6ED6CB6F" w14:textId="77777777" w:rsidR="00CF3957" w:rsidRPr="00D42A73" w:rsidRDefault="00CF3957" w:rsidP="00CF3957">
      <w:pPr>
        <w:keepNext/>
        <w:jc w:val="both"/>
        <w:rPr>
          <w:b/>
          <w:sz w:val="20"/>
          <w:szCs w:val="20"/>
        </w:rPr>
      </w:pPr>
      <w:r>
        <w:rPr>
          <w:b/>
          <w:sz w:val="20"/>
          <w:szCs w:val="20"/>
        </w:rPr>
        <w:t>Tablica 9</w:t>
      </w:r>
      <w:r w:rsidRPr="00D42A73">
        <w:rPr>
          <w:b/>
          <w:sz w:val="20"/>
          <w:szCs w:val="20"/>
        </w:rPr>
        <w:t>.</w:t>
      </w:r>
    </w:p>
    <w:tbl>
      <w:tblPr>
        <w:tblW w:w="8600" w:type="dxa"/>
        <w:jc w:val="center"/>
        <w:tblLook w:val="04A0" w:firstRow="1" w:lastRow="0" w:firstColumn="1" w:lastColumn="0" w:noHBand="0" w:noVBand="1"/>
      </w:tblPr>
      <w:tblGrid>
        <w:gridCol w:w="840"/>
        <w:gridCol w:w="2500"/>
        <w:gridCol w:w="2320"/>
        <w:gridCol w:w="1340"/>
        <w:gridCol w:w="1600"/>
      </w:tblGrid>
      <w:tr w:rsidR="00CF3957" w:rsidRPr="00D42A73" w14:paraId="3F8EF511" w14:textId="77777777" w:rsidTr="001E71E3">
        <w:trPr>
          <w:trHeight w:val="84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7528B" w14:textId="77777777" w:rsidR="00CF3957" w:rsidRPr="007F2D4C" w:rsidRDefault="00CF3957" w:rsidP="001E71E3">
            <w:pPr>
              <w:jc w:val="center"/>
              <w:rPr>
                <w:b/>
                <w:bCs/>
                <w:sz w:val="20"/>
                <w:szCs w:val="20"/>
              </w:rPr>
            </w:pPr>
            <w:r w:rsidRPr="007F2D4C">
              <w:rPr>
                <w:b/>
                <w:bCs/>
                <w:sz w:val="20"/>
                <w:szCs w:val="20"/>
              </w:rPr>
              <w:t>Red. broj</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683663A7" w14:textId="77777777" w:rsidR="00CF3957" w:rsidRPr="007F2D4C" w:rsidRDefault="00CF3957" w:rsidP="001E71E3">
            <w:pPr>
              <w:jc w:val="center"/>
              <w:rPr>
                <w:b/>
                <w:bCs/>
                <w:sz w:val="20"/>
                <w:szCs w:val="20"/>
              </w:rPr>
            </w:pPr>
            <w:r w:rsidRPr="007F2D4C">
              <w:rPr>
                <w:b/>
                <w:bCs/>
                <w:sz w:val="20"/>
                <w:szCs w:val="20"/>
              </w:rPr>
              <w:t>Naziv</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999F09D" w14:textId="77777777" w:rsidR="00CF3957" w:rsidRPr="007F2D4C" w:rsidRDefault="00CF3957" w:rsidP="001E71E3">
            <w:pPr>
              <w:jc w:val="center"/>
              <w:rPr>
                <w:b/>
                <w:bCs/>
                <w:sz w:val="20"/>
                <w:szCs w:val="20"/>
              </w:rPr>
            </w:pPr>
            <w:r w:rsidRPr="007F2D4C">
              <w:rPr>
                <w:b/>
                <w:bCs/>
                <w:sz w:val="20"/>
                <w:szCs w:val="20"/>
              </w:rPr>
              <w:t>Valuta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1B05C92" w14:textId="77777777" w:rsidR="00CF3957" w:rsidRPr="007F2D4C" w:rsidRDefault="00CF3957" w:rsidP="001E71E3">
            <w:pPr>
              <w:jc w:val="center"/>
              <w:rPr>
                <w:b/>
                <w:bCs/>
                <w:sz w:val="20"/>
                <w:szCs w:val="20"/>
              </w:rPr>
            </w:pPr>
            <w:r w:rsidRPr="007F2D4C">
              <w:rPr>
                <w:b/>
                <w:bCs/>
                <w:sz w:val="20"/>
                <w:szCs w:val="20"/>
              </w:rPr>
              <w:t>Stan</w:t>
            </w:r>
            <w:r>
              <w:rPr>
                <w:b/>
                <w:bCs/>
                <w:sz w:val="20"/>
                <w:szCs w:val="20"/>
              </w:rPr>
              <w:t>je obveza na dan 31.12.2022</w:t>
            </w:r>
            <w:r w:rsidRPr="007F2D4C">
              <w:rPr>
                <w:b/>
                <w:bCs/>
                <w:sz w:val="20"/>
                <w:szCs w:val="20"/>
              </w:rPr>
              <w:t>.  (</w:t>
            </w:r>
            <w:proofErr w:type="spellStart"/>
            <w:r w:rsidRPr="007F2D4C">
              <w:rPr>
                <w:b/>
                <w:bCs/>
                <w:sz w:val="20"/>
                <w:szCs w:val="20"/>
              </w:rPr>
              <w:t>org.val</w:t>
            </w:r>
            <w:proofErr w:type="spellEnd"/>
            <w:r w:rsidRPr="007F2D4C">
              <w:rPr>
                <w:b/>
                <w:bCs/>
                <w:sz w:val="20"/>
                <w:szCs w:val="20"/>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5DC4D52" w14:textId="77777777" w:rsidR="00CF3957" w:rsidRPr="007F2D4C" w:rsidRDefault="00CF3957" w:rsidP="001E71E3">
            <w:pPr>
              <w:jc w:val="center"/>
              <w:rPr>
                <w:b/>
                <w:bCs/>
                <w:sz w:val="20"/>
                <w:szCs w:val="20"/>
              </w:rPr>
            </w:pPr>
            <w:r>
              <w:rPr>
                <w:b/>
                <w:bCs/>
                <w:sz w:val="20"/>
                <w:szCs w:val="20"/>
              </w:rPr>
              <w:t>Stanje  obveza na 31.12.2022</w:t>
            </w:r>
            <w:r w:rsidRPr="007F2D4C">
              <w:rPr>
                <w:b/>
                <w:bCs/>
                <w:sz w:val="20"/>
                <w:szCs w:val="20"/>
              </w:rPr>
              <w:t>. u kunama</w:t>
            </w:r>
          </w:p>
        </w:tc>
      </w:tr>
      <w:tr w:rsidR="00CF3957" w:rsidRPr="00D42A73" w14:paraId="78E85269" w14:textId="77777777" w:rsidTr="001E71E3">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A5C6271" w14:textId="77777777" w:rsidR="00CF3957" w:rsidRPr="007F2D4C" w:rsidRDefault="00CF3957" w:rsidP="001E71E3">
            <w:pPr>
              <w:jc w:val="center"/>
              <w:rPr>
                <w:sz w:val="20"/>
                <w:szCs w:val="20"/>
              </w:rPr>
            </w:pPr>
            <w:r w:rsidRPr="007F2D4C">
              <w:rPr>
                <w:sz w:val="20"/>
                <w:szCs w:val="20"/>
              </w:rPr>
              <w:t>1</w:t>
            </w:r>
          </w:p>
        </w:tc>
        <w:tc>
          <w:tcPr>
            <w:tcW w:w="2500" w:type="dxa"/>
            <w:tcBorders>
              <w:top w:val="nil"/>
              <w:left w:val="nil"/>
              <w:bottom w:val="single" w:sz="4" w:space="0" w:color="auto"/>
              <w:right w:val="single" w:sz="4" w:space="0" w:color="auto"/>
            </w:tcBorders>
            <w:shd w:val="clear" w:color="auto" w:fill="auto"/>
            <w:noWrap/>
            <w:vAlign w:val="center"/>
            <w:hideMark/>
          </w:tcPr>
          <w:p w14:paraId="75397E03" w14:textId="77777777" w:rsidR="00CF3957" w:rsidRPr="007F2D4C" w:rsidRDefault="00CF3957" w:rsidP="001E71E3">
            <w:pPr>
              <w:rPr>
                <w:sz w:val="20"/>
                <w:szCs w:val="20"/>
              </w:rPr>
            </w:pPr>
            <w:r w:rsidRPr="007F2D4C">
              <w:rPr>
                <w:sz w:val="20"/>
                <w:szCs w:val="20"/>
              </w:rPr>
              <w:t>IDA</w:t>
            </w:r>
          </w:p>
        </w:tc>
        <w:tc>
          <w:tcPr>
            <w:tcW w:w="2320" w:type="dxa"/>
            <w:tcBorders>
              <w:top w:val="nil"/>
              <w:left w:val="nil"/>
              <w:bottom w:val="single" w:sz="4" w:space="0" w:color="auto"/>
              <w:right w:val="single" w:sz="4" w:space="0" w:color="auto"/>
            </w:tcBorders>
            <w:shd w:val="clear" w:color="auto" w:fill="auto"/>
            <w:vAlign w:val="center"/>
            <w:hideMark/>
          </w:tcPr>
          <w:p w14:paraId="39A427AF" w14:textId="77777777" w:rsidR="00CF3957" w:rsidRPr="007F2D4C" w:rsidRDefault="00CF3957" w:rsidP="001E71E3">
            <w:pPr>
              <w:jc w:val="center"/>
              <w:rPr>
                <w:sz w:val="20"/>
                <w:szCs w:val="20"/>
              </w:rPr>
            </w:pPr>
            <w:r w:rsidRPr="007F2D4C">
              <w:rPr>
                <w:sz w:val="20"/>
                <w:szCs w:val="20"/>
              </w:rPr>
              <w:t>HRK</w:t>
            </w:r>
          </w:p>
        </w:tc>
        <w:tc>
          <w:tcPr>
            <w:tcW w:w="1340" w:type="dxa"/>
            <w:tcBorders>
              <w:top w:val="nil"/>
              <w:left w:val="nil"/>
              <w:bottom w:val="single" w:sz="4" w:space="0" w:color="auto"/>
              <w:right w:val="single" w:sz="4" w:space="0" w:color="auto"/>
            </w:tcBorders>
            <w:shd w:val="clear" w:color="auto" w:fill="auto"/>
            <w:vAlign w:val="center"/>
            <w:hideMark/>
          </w:tcPr>
          <w:p w14:paraId="6993424F" w14:textId="77777777" w:rsidR="00CF3957" w:rsidRPr="007F2D4C" w:rsidRDefault="00CF3957" w:rsidP="001E71E3">
            <w:pPr>
              <w:jc w:val="right"/>
              <w:rPr>
                <w:sz w:val="20"/>
                <w:szCs w:val="20"/>
              </w:rPr>
            </w:pPr>
            <w:r w:rsidRPr="007F2D4C">
              <w:rPr>
                <w:sz w:val="20"/>
                <w:szCs w:val="20"/>
              </w:rPr>
              <w:t>2.999.304,65</w:t>
            </w:r>
          </w:p>
        </w:tc>
        <w:tc>
          <w:tcPr>
            <w:tcW w:w="1600" w:type="dxa"/>
            <w:tcBorders>
              <w:top w:val="nil"/>
              <w:left w:val="nil"/>
              <w:bottom w:val="single" w:sz="4" w:space="0" w:color="auto"/>
              <w:right w:val="single" w:sz="4" w:space="0" w:color="auto"/>
            </w:tcBorders>
            <w:shd w:val="clear" w:color="auto" w:fill="auto"/>
            <w:vAlign w:val="center"/>
            <w:hideMark/>
          </w:tcPr>
          <w:p w14:paraId="5163B374" w14:textId="77777777" w:rsidR="00CF3957" w:rsidRPr="007F2D4C" w:rsidRDefault="00CF3957" w:rsidP="001E71E3">
            <w:pPr>
              <w:jc w:val="right"/>
              <w:rPr>
                <w:sz w:val="20"/>
                <w:szCs w:val="20"/>
              </w:rPr>
            </w:pPr>
            <w:r w:rsidRPr="007F2D4C">
              <w:rPr>
                <w:sz w:val="20"/>
                <w:szCs w:val="20"/>
              </w:rPr>
              <w:t>2.999.304,65</w:t>
            </w:r>
          </w:p>
        </w:tc>
      </w:tr>
      <w:tr w:rsidR="00CF3957" w:rsidRPr="00D42A73" w14:paraId="0C072295" w14:textId="77777777" w:rsidTr="001E71E3">
        <w:trPr>
          <w:trHeight w:val="27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3AE8E38" w14:textId="77777777" w:rsidR="00CF3957" w:rsidRPr="007F2D4C" w:rsidRDefault="00CF3957" w:rsidP="001E71E3">
            <w:pPr>
              <w:jc w:val="center"/>
              <w:rPr>
                <w:sz w:val="20"/>
                <w:szCs w:val="20"/>
              </w:rPr>
            </w:pPr>
            <w:r w:rsidRPr="007F2D4C">
              <w:rPr>
                <w:sz w:val="20"/>
                <w:szCs w:val="20"/>
              </w:rPr>
              <w:t>2</w:t>
            </w:r>
          </w:p>
        </w:tc>
        <w:tc>
          <w:tcPr>
            <w:tcW w:w="2500" w:type="dxa"/>
            <w:tcBorders>
              <w:top w:val="nil"/>
              <w:left w:val="nil"/>
              <w:bottom w:val="single" w:sz="4" w:space="0" w:color="auto"/>
              <w:right w:val="single" w:sz="4" w:space="0" w:color="auto"/>
            </w:tcBorders>
            <w:shd w:val="clear" w:color="auto" w:fill="auto"/>
            <w:noWrap/>
            <w:vAlign w:val="center"/>
            <w:hideMark/>
          </w:tcPr>
          <w:p w14:paraId="5A92A86C" w14:textId="77777777" w:rsidR="00CF3957" w:rsidRPr="007F2D4C" w:rsidRDefault="00CF3957" w:rsidP="001E71E3">
            <w:pPr>
              <w:rPr>
                <w:sz w:val="20"/>
                <w:szCs w:val="20"/>
              </w:rPr>
            </w:pPr>
            <w:r w:rsidRPr="007F2D4C">
              <w:rPr>
                <w:sz w:val="20"/>
                <w:szCs w:val="20"/>
              </w:rPr>
              <w:t>MIGA</w:t>
            </w:r>
          </w:p>
        </w:tc>
        <w:tc>
          <w:tcPr>
            <w:tcW w:w="2320" w:type="dxa"/>
            <w:tcBorders>
              <w:top w:val="nil"/>
              <w:left w:val="nil"/>
              <w:bottom w:val="single" w:sz="4" w:space="0" w:color="auto"/>
              <w:right w:val="single" w:sz="4" w:space="0" w:color="auto"/>
            </w:tcBorders>
            <w:shd w:val="clear" w:color="auto" w:fill="auto"/>
            <w:noWrap/>
            <w:vAlign w:val="center"/>
            <w:hideMark/>
          </w:tcPr>
          <w:p w14:paraId="47542C46" w14:textId="77777777" w:rsidR="00CF3957" w:rsidRPr="007F2D4C" w:rsidRDefault="00CF3957" w:rsidP="001E71E3">
            <w:pPr>
              <w:jc w:val="center"/>
              <w:rPr>
                <w:sz w:val="20"/>
                <w:szCs w:val="20"/>
              </w:rPr>
            </w:pPr>
            <w:r w:rsidRPr="007F2D4C">
              <w:rPr>
                <w:sz w:val="20"/>
                <w:szCs w:val="20"/>
              </w:rPr>
              <w:t>USD</w:t>
            </w:r>
          </w:p>
        </w:tc>
        <w:tc>
          <w:tcPr>
            <w:tcW w:w="1340" w:type="dxa"/>
            <w:tcBorders>
              <w:top w:val="nil"/>
              <w:left w:val="nil"/>
              <w:bottom w:val="single" w:sz="4" w:space="0" w:color="auto"/>
              <w:right w:val="single" w:sz="4" w:space="0" w:color="auto"/>
            </w:tcBorders>
            <w:shd w:val="clear" w:color="auto" w:fill="auto"/>
            <w:noWrap/>
            <w:vAlign w:val="center"/>
            <w:hideMark/>
          </w:tcPr>
          <w:p w14:paraId="033348A2" w14:textId="77777777" w:rsidR="00CF3957" w:rsidRPr="007F2D4C" w:rsidRDefault="00CF3957" w:rsidP="001E71E3">
            <w:pPr>
              <w:jc w:val="right"/>
              <w:rPr>
                <w:sz w:val="20"/>
                <w:szCs w:val="20"/>
              </w:rPr>
            </w:pPr>
            <w:r w:rsidRPr="007F2D4C">
              <w:rPr>
                <w:sz w:val="20"/>
                <w:szCs w:val="20"/>
              </w:rPr>
              <w:t>202.334,00</w:t>
            </w:r>
          </w:p>
        </w:tc>
        <w:tc>
          <w:tcPr>
            <w:tcW w:w="1600" w:type="dxa"/>
            <w:tcBorders>
              <w:top w:val="nil"/>
              <w:left w:val="nil"/>
              <w:bottom w:val="single" w:sz="4" w:space="0" w:color="auto"/>
              <w:right w:val="single" w:sz="4" w:space="0" w:color="auto"/>
            </w:tcBorders>
            <w:shd w:val="clear" w:color="auto" w:fill="auto"/>
            <w:vAlign w:val="center"/>
            <w:hideMark/>
          </w:tcPr>
          <w:p w14:paraId="6176221A" w14:textId="77777777" w:rsidR="00CF3957" w:rsidRPr="007F2D4C" w:rsidRDefault="00CF3957" w:rsidP="001E71E3">
            <w:pPr>
              <w:jc w:val="right"/>
              <w:rPr>
                <w:sz w:val="20"/>
                <w:szCs w:val="20"/>
              </w:rPr>
            </w:pPr>
            <w:r w:rsidRPr="007B2BA6">
              <w:rPr>
                <w:sz w:val="20"/>
                <w:szCs w:val="20"/>
              </w:rPr>
              <w:t>1.429.295,47</w:t>
            </w:r>
          </w:p>
        </w:tc>
      </w:tr>
      <w:tr w:rsidR="00CF3957" w:rsidRPr="00D42A73" w14:paraId="7388A844" w14:textId="77777777" w:rsidTr="001E71E3">
        <w:trPr>
          <w:trHeight w:val="285"/>
          <w:jc w:val="center"/>
        </w:trPr>
        <w:tc>
          <w:tcPr>
            <w:tcW w:w="33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5E29" w14:textId="77777777" w:rsidR="00CF3957" w:rsidRPr="007F2D4C" w:rsidRDefault="00CF3957" w:rsidP="001E71E3">
            <w:pPr>
              <w:jc w:val="center"/>
              <w:rPr>
                <w:b/>
                <w:bCs/>
                <w:sz w:val="20"/>
                <w:szCs w:val="20"/>
              </w:rPr>
            </w:pPr>
            <w:r w:rsidRPr="007F2D4C">
              <w:rPr>
                <w:b/>
                <w:bCs/>
                <w:sz w:val="20"/>
                <w:szCs w:val="20"/>
              </w:rPr>
              <w:t>UKUPNO</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70EEE" w14:textId="77777777" w:rsidR="00CF3957" w:rsidRPr="007F2D4C" w:rsidRDefault="00CF3957" w:rsidP="001E71E3">
            <w:pPr>
              <w:jc w:val="center"/>
              <w:rPr>
                <w:b/>
                <w:bCs/>
                <w:sz w:val="20"/>
                <w:szCs w:val="20"/>
              </w:rPr>
            </w:pPr>
            <w:r w:rsidRPr="007F2D4C">
              <w:rPr>
                <w:b/>
                <w:bCs/>
                <w:sz w:val="20"/>
                <w:szCs w:val="20"/>
              </w:rPr>
              <w:t>HRK</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4979A" w14:textId="77777777" w:rsidR="00CF3957" w:rsidRPr="007F2D4C" w:rsidRDefault="00CF3957" w:rsidP="001E71E3">
            <w:pPr>
              <w:jc w:val="right"/>
              <w:rPr>
                <w:sz w:val="20"/>
                <w:szCs w:val="20"/>
              </w:rPr>
            </w:pPr>
            <w:r w:rsidRPr="007F2D4C">
              <w:rPr>
                <w:sz w:val="20"/>
                <w:szCs w:val="20"/>
              </w:rPr>
              <w:t>2.999.304,65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D24D" w14:textId="77777777" w:rsidR="00CF3957" w:rsidRPr="007F2D4C" w:rsidRDefault="00CF3957" w:rsidP="001E71E3">
            <w:pPr>
              <w:jc w:val="right"/>
              <w:rPr>
                <w:sz w:val="20"/>
                <w:szCs w:val="20"/>
              </w:rPr>
            </w:pPr>
            <w:r w:rsidRPr="007F2D4C">
              <w:rPr>
                <w:sz w:val="20"/>
                <w:szCs w:val="20"/>
              </w:rPr>
              <w:t>2.999.304,65</w:t>
            </w:r>
          </w:p>
        </w:tc>
      </w:tr>
      <w:tr w:rsidR="00CF3957" w:rsidRPr="00D42A73" w14:paraId="385A4791" w14:textId="77777777" w:rsidTr="001E71E3">
        <w:trPr>
          <w:trHeight w:val="285"/>
          <w:jc w:val="center"/>
        </w:trPr>
        <w:tc>
          <w:tcPr>
            <w:tcW w:w="3340" w:type="dxa"/>
            <w:gridSpan w:val="2"/>
            <w:vMerge/>
            <w:tcBorders>
              <w:top w:val="single" w:sz="4" w:space="0" w:color="auto"/>
              <w:left w:val="single" w:sz="4" w:space="0" w:color="auto"/>
              <w:bottom w:val="single" w:sz="4" w:space="0" w:color="auto"/>
              <w:right w:val="single" w:sz="4" w:space="0" w:color="auto"/>
            </w:tcBorders>
            <w:vAlign w:val="center"/>
            <w:hideMark/>
          </w:tcPr>
          <w:p w14:paraId="5CAC1FCE" w14:textId="77777777" w:rsidR="00CF3957" w:rsidRPr="007F2D4C" w:rsidRDefault="00CF3957" w:rsidP="001E71E3">
            <w:pPr>
              <w:rPr>
                <w:b/>
                <w:bCs/>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CF947" w14:textId="77777777" w:rsidR="00CF3957" w:rsidRPr="007F2D4C" w:rsidRDefault="00CF3957" w:rsidP="001E71E3">
            <w:pPr>
              <w:jc w:val="center"/>
              <w:rPr>
                <w:b/>
                <w:bCs/>
                <w:sz w:val="20"/>
                <w:szCs w:val="20"/>
              </w:rPr>
            </w:pPr>
            <w:r w:rsidRPr="007F2D4C">
              <w:rPr>
                <w:b/>
                <w:bCs/>
                <w:sz w:val="20"/>
                <w:szCs w:val="20"/>
              </w:rPr>
              <w:t>USD</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F1A8" w14:textId="77777777" w:rsidR="00CF3957" w:rsidRPr="007F2D4C" w:rsidRDefault="00CF3957" w:rsidP="001E71E3">
            <w:pPr>
              <w:jc w:val="right"/>
              <w:rPr>
                <w:sz w:val="20"/>
                <w:szCs w:val="20"/>
              </w:rPr>
            </w:pPr>
            <w:r w:rsidRPr="007F2D4C">
              <w:rPr>
                <w:sz w:val="20"/>
                <w:szCs w:val="20"/>
              </w:rPr>
              <w:t>202.334,00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A435" w14:textId="77777777" w:rsidR="00CF3957" w:rsidRPr="007F2D4C" w:rsidRDefault="00CF3957" w:rsidP="001E71E3">
            <w:pPr>
              <w:jc w:val="right"/>
              <w:rPr>
                <w:sz w:val="20"/>
                <w:szCs w:val="20"/>
              </w:rPr>
            </w:pPr>
            <w:r w:rsidRPr="007B2BA6">
              <w:rPr>
                <w:sz w:val="20"/>
                <w:szCs w:val="20"/>
              </w:rPr>
              <w:t>1.429.295,47</w:t>
            </w:r>
          </w:p>
        </w:tc>
      </w:tr>
      <w:tr w:rsidR="00CF3957" w14:paraId="1B83BB0E" w14:textId="77777777" w:rsidTr="001E71E3">
        <w:trPr>
          <w:trHeight w:val="285"/>
          <w:jc w:val="center"/>
        </w:trPr>
        <w:tc>
          <w:tcPr>
            <w:tcW w:w="840" w:type="dxa"/>
            <w:tcBorders>
              <w:top w:val="single" w:sz="4" w:space="0" w:color="auto"/>
              <w:left w:val="nil"/>
              <w:bottom w:val="nil"/>
              <w:right w:val="nil"/>
            </w:tcBorders>
            <w:shd w:val="clear" w:color="auto" w:fill="auto"/>
            <w:noWrap/>
            <w:vAlign w:val="center"/>
            <w:hideMark/>
          </w:tcPr>
          <w:p w14:paraId="7A7855FF" w14:textId="77777777" w:rsidR="00CF3957" w:rsidRPr="007F2D4C" w:rsidRDefault="00CF3957" w:rsidP="001E71E3">
            <w:pPr>
              <w:jc w:val="right"/>
              <w:rPr>
                <w:sz w:val="20"/>
                <w:szCs w:val="20"/>
              </w:rPr>
            </w:pPr>
          </w:p>
        </w:tc>
        <w:tc>
          <w:tcPr>
            <w:tcW w:w="2500" w:type="dxa"/>
            <w:tcBorders>
              <w:top w:val="single" w:sz="4" w:space="0" w:color="auto"/>
              <w:left w:val="nil"/>
              <w:bottom w:val="nil"/>
              <w:right w:val="nil"/>
            </w:tcBorders>
            <w:shd w:val="clear" w:color="auto" w:fill="auto"/>
            <w:noWrap/>
            <w:vAlign w:val="center"/>
            <w:hideMark/>
          </w:tcPr>
          <w:p w14:paraId="75880D0C" w14:textId="77777777" w:rsidR="00CF3957" w:rsidRPr="007F2D4C" w:rsidRDefault="00CF3957" w:rsidP="001E71E3">
            <w:pPr>
              <w:rPr>
                <w:sz w:val="20"/>
                <w:szCs w:val="20"/>
              </w:rPr>
            </w:pPr>
          </w:p>
        </w:tc>
        <w:tc>
          <w:tcPr>
            <w:tcW w:w="2320" w:type="dxa"/>
            <w:tcBorders>
              <w:top w:val="single" w:sz="4" w:space="0" w:color="auto"/>
              <w:left w:val="nil"/>
              <w:bottom w:val="nil"/>
              <w:right w:val="nil"/>
            </w:tcBorders>
            <w:shd w:val="clear" w:color="auto" w:fill="auto"/>
            <w:noWrap/>
            <w:vAlign w:val="center"/>
            <w:hideMark/>
          </w:tcPr>
          <w:p w14:paraId="7F697779" w14:textId="77777777" w:rsidR="00CF3957" w:rsidRPr="007F2D4C" w:rsidRDefault="00CF3957" w:rsidP="001E71E3">
            <w:pPr>
              <w:rPr>
                <w:sz w:val="20"/>
                <w:szCs w:val="20"/>
              </w:rPr>
            </w:pPr>
          </w:p>
        </w:tc>
        <w:tc>
          <w:tcPr>
            <w:tcW w:w="1340" w:type="dxa"/>
            <w:tcBorders>
              <w:top w:val="single" w:sz="4" w:space="0" w:color="auto"/>
              <w:left w:val="nil"/>
              <w:bottom w:val="nil"/>
              <w:right w:val="single" w:sz="4" w:space="0" w:color="auto"/>
            </w:tcBorders>
            <w:shd w:val="clear" w:color="auto" w:fill="auto"/>
            <w:noWrap/>
            <w:vAlign w:val="center"/>
            <w:hideMark/>
          </w:tcPr>
          <w:p w14:paraId="0C194F60" w14:textId="77777777" w:rsidR="00CF3957" w:rsidRPr="007F2D4C" w:rsidRDefault="00CF3957" w:rsidP="001E71E3">
            <w:pPr>
              <w:rPr>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6D770" w14:textId="77777777" w:rsidR="00CF3957" w:rsidRPr="007F2D4C" w:rsidRDefault="00CF3957" w:rsidP="001E71E3">
            <w:pPr>
              <w:jc w:val="right"/>
              <w:rPr>
                <w:b/>
                <w:bCs/>
                <w:sz w:val="20"/>
                <w:szCs w:val="20"/>
              </w:rPr>
            </w:pPr>
            <w:r w:rsidRPr="007B2BA6">
              <w:rPr>
                <w:b/>
                <w:bCs/>
                <w:sz w:val="20"/>
                <w:szCs w:val="20"/>
              </w:rPr>
              <w:t>4.428.600,12</w:t>
            </w:r>
          </w:p>
        </w:tc>
      </w:tr>
    </w:tbl>
    <w:p w14:paraId="27ABD9FC" w14:textId="77777777" w:rsidR="00CF3957" w:rsidRDefault="00CF3957" w:rsidP="00CF3957">
      <w:pPr>
        <w:keepNext/>
        <w:jc w:val="center"/>
        <w:rPr>
          <w:sz w:val="28"/>
        </w:rPr>
      </w:pPr>
    </w:p>
    <w:p w14:paraId="06D6607B" w14:textId="77777777" w:rsidR="00CF3957" w:rsidRDefault="00CF3957" w:rsidP="00CF3957">
      <w:pPr>
        <w:keepNext/>
        <w:jc w:val="both"/>
      </w:pPr>
    </w:p>
    <w:p w14:paraId="6940108B" w14:textId="77777777" w:rsidR="00CF3957" w:rsidRDefault="00CF3957" w:rsidP="00CF3957">
      <w:pPr>
        <w:keepNext/>
        <w:jc w:val="center"/>
        <w:rPr>
          <w:sz w:val="28"/>
        </w:rPr>
      </w:pPr>
    </w:p>
    <w:p w14:paraId="59C797BC" w14:textId="77777777" w:rsidR="00CF3957" w:rsidRPr="00C85DCC" w:rsidRDefault="00CF3957" w:rsidP="00CF3957">
      <w:pPr>
        <w:keepNext/>
        <w:jc w:val="center"/>
        <w:rPr>
          <w:sz w:val="28"/>
        </w:rPr>
      </w:pPr>
      <w:r>
        <w:rPr>
          <w:sz w:val="28"/>
        </w:rPr>
        <w:t>Bilješka 23</w:t>
      </w:r>
      <w:r w:rsidRPr="00C85DCC">
        <w:rPr>
          <w:sz w:val="28"/>
        </w:rPr>
        <w:t>.</w:t>
      </w:r>
    </w:p>
    <w:p w14:paraId="5914EF12" w14:textId="77777777" w:rsidR="00CF3957" w:rsidRPr="00D42A73" w:rsidRDefault="00CF3957" w:rsidP="00CF3957">
      <w:pPr>
        <w:keepNext/>
        <w:jc w:val="center"/>
        <w:rPr>
          <w:bCs/>
          <w:sz w:val="28"/>
        </w:rPr>
      </w:pPr>
      <w:r>
        <w:rPr>
          <w:bCs/>
          <w:sz w:val="28"/>
        </w:rPr>
        <w:t>Šifra 2542</w:t>
      </w:r>
      <w:r w:rsidRPr="00D42A73">
        <w:rPr>
          <w:bCs/>
          <w:sz w:val="28"/>
        </w:rPr>
        <w:t xml:space="preserve"> Obveza za obveznice – inozemne</w:t>
      </w:r>
    </w:p>
    <w:p w14:paraId="13247556" w14:textId="77777777" w:rsidR="00CF3957" w:rsidRDefault="00CF3957" w:rsidP="00CF3957">
      <w:pPr>
        <w:jc w:val="both"/>
      </w:pPr>
    </w:p>
    <w:p w14:paraId="78B61804" w14:textId="77777777" w:rsidR="00CF3957" w:rsidRDefault="00CF3957" w:rsidP="00CF3957">
      <w:pPr>
        <w:jc w:val="both"/>
      </w:pPr>
      <w:r w:rsidRPr="00D42A73">
        <w:t>Iznos od 105.</w:t>
      </w:r>
      <w:r>
        <w:t>405.117.767,67</w:t>
      </w:r>
      <w:r w:rsidRPr="00D42A73">
        <w:rPr>
          <w:bCs/>
        </w:rPr>
        <w:t xml:space="preserve"> kune </w:t>
      </w:r>
      <w:r w:rsidRPr="00D42A73">
        <w:t>odnosi se na obvezu za sve inozemne obveznice izdane do 31. prosinca 202</w:t>
      </w:r>
      <w:r>
        <w:t>2. godine.</w:t>
      </w:r>
    </w:p>
    <w:p w14:paraId="7CC43EFF" w14:textId="77777777" w:rsidR="00CF3957" w:rsidRDefault="00CF3957" w:rsidP="00CF3957">
      <w:pPr>
        <w:jc w:val="both"/>
      </w:pPr>
    </w:p>
    <w:p w14:paraId="0FB1AC0F" w14:textId="77777777" w:rsidR="00CF3957" w:rsidRPr="00EB424A" w:rsidRDefault="00CF3957" w:rsidP="00CF3957">
      <w:pPr>
        <w:jc w:val="both"/>
      </w:pPr>
      <w:r w:rsidRPr="00EB424A">
        <w:t>U Tablici 10. dan je prikaz</w:t>
      </w:r>
      <w:r>
        <w:t xml:space="preserve"> obveza po aktivnim</w:t>
      </w:r>
      <w:r w:rsidRPr="00EB424A">
        <w:t xml:space="preserve"> obveznica</w:t>
      </w:r>
      <w:r>
        <w:t>ma izdanim</w:t>
      </w:r>
      <w:r w:rsidRPr="00EB424A">
        <w:t xml:space="preserve"> na međunarodnom tržištu kapitala na dan 31. prosinca 2022.</w:t>
      </w:r>
      <w:r>
        <w:t xml:space="preserve"> godine</w:t>
      </w:r>
      <w:r w:rsidRPr="00EB424A">
        <w:t xml:space="preserve"> s uvjetima izdanja, datumom izdanja te datumom dospijeća izdanih obveznica.</w:t>
      </w:r>
    </w:p>
    <w:p w14:paraId="2E2272D3" w14:textId="77777777" w:rsidR="00CF3957" w:rsidRPr="00D42A73" w:rsidRDefault="00CF3957" w:rsidP="00CF3957">
      <w:pPr>
        <w:keepNext/>
        <w:jc w:val="both"/>
      </w:pPr>
    </w:p>
    <w:p w14:paraId="7A9BC50B" w14:textId="77777777" w:rsidR="00CF3957" w:rsidRPr="00D42A73" w:rsidRDefault="00CF3957" w:rsidP="00CF3957">
      <w:pPr>
        <w:keepNext/>
        <w:jc w:val="both"/>
        <w:rPr>
          <w:b/>
          <w:sz w:val="20"/>
          <w:szCs w:val="20"/>
        </w:rPr>
      </w:pPr>
      <w:r>
        <w:rPr>
          <w:b/>
          <w:sz w:val="20"/>
          <w:szCs w:val="20"/>
        </w:rPr>
        <w:t>Tablica 10</w:t>
      </w:r>
      <w:r w:rsidRPr="00D42A73">
        <w:rPr>
          <w:b/>
          <w:sz w:val="20"/>
          <w:szCs w:val="20"/>
        </w:rPr>
        <w:t>.</w:t>
      </w:r>
    </w:p>
    <w:tbl>
      <w:tblPr>
        <w:tblW w:w="9475" w:type="dxa"/>
        <w:tblLook w:val="04A0" w:firstRow="1" w:lastRow="0" w:firstColumn="1" w:lastColumn="0" w:noHBand="0" w:noVBand="1"/>
      </w:tblPr>
      <w:tblGrid>
        <w:gridCol w:w="562"/>
        <w:gridCol w:w="3800"/>
        <w:gridCol w:w="1445"/>
        <w:gridCol w:w="1700"/>
        <w:gridCol w:w="1968"/>
      </w:tblGrid>
      <w:tr w:rsidR="00CF3957" w:rsidRPr="00E54654" w14:paraId="744E6137" w14:textId="77777777" w:rsidTr="001E71E3">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32045" w14:textId="77777777" w:rsidR="00CF3957" w:rsidRPr="00E54654" w:rsidRDefault="00CF3957" w:rsidP="001E71E3">
            <w:pPr>
              <w:jc w:val="center"/>
              <w:rPr>
                <w:b/>
                <w:bCs/>
                <w:sz w:val="16"/>
                <w:szCs w:val="16"/>
              </w:rPr>
            </w:pPr>
            <w:r w:rsidRPr="00E54654">
              <w:rPr>
                <w:b/>
                <w:bCs/>
                <w:sz w:val="16"/>
                <w:szCs w:val="16"/>
              </w:rPr>
              <w:t>Red. broj</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5859D8D9" w14:textId="77777777" w:rsidR="00CF3957" w:rsidRPr="00E54654" w:rsidRDefault="00CF3957" w:rsidP="001E71E3">
            <w:pPr>
              <w:jc w:val="center"/>
              <w:rPr>
                <w:b/>
                <w:bCs/>
                <w:sz w:val="16"/>
                <w:szCs w:val="16"/>
              </w:rPr>
            </w:pPr>
            <w:r w:rsidRPr="00E54654">
              <w:rPr>
                <w:b/>
                <w:bCs/>
                <w:sz w:val="16"/>
                <w:szCs w:val="16"/>
              </w:rPr>
              <w:t>Naziv</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09E0D840" w14:textId="77777777" w:rsidR="00CF3957" w:rsidRPr="00E54654" w:rsidRDefault="00CF3957" w:rsidP="001E71E3">
            <w:pPr>
              <w:jc w:val="center"/>
              <w:rPr>
                <w:b/>
                <w:bCs/>
                <w:sz w:val="16"/>
                <w:szCs w:val="16"/>
              </w:rPr>
            </w:pPr>
            <w:r w:rsidRPr="00E54654">
              <w:rPr>
                <w:b/>
                <w:bCs/>
                <w:sz w:val="16"/>
                <w:szCs w:val="16"/>
              </w:rPr>
              <w:t>Valuta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1D4B372" w14:textId="77777777" w:rsidR="00CF3957" w:rsidRPr="00E54654" w:rsidRDefault="00CF3957" w:rsidP="001E71E3">
            <w:pPr>
              <w:jc w:val="center"/>
              <w:rPr>
                <w:b/>
                <w:bCs/>
                <w:sz w:val="16"/>
                <w:szCs w:val="16"/>
              </w:rPr>
            </w:pPr>
            <w:r w:rsidRPr="00E54654">
              <w:rPr>
                <w:b/>
                <w:bCs/>
                <w:sz w:val="16"/>
                <w:szCs w:val="16"/>
              </w:rPr>
              <w:t>Stanje obveza na dan 31.12.2022. (</w:t>
            </w:r>
            <w:proofErr w:type="spellStart"/>
            <w:r w:rsidRPr="00E54654">
              <w:rPr>
                <w:b/>
                <w:bCs/>
                <w:sz w:val="16"/>
                <w:szCs w:val="16"/>
              </w:rPr>
              <w:t>org.val</w:t>
            </w:r>
            <w:proofErr w:type="spellEnd"/>
            <w:r w:rsidRPr="00E54654">
              <w:rPr>
                <w:b/>
                <w:bCs/>
                <w:sz w:val="16"/>
                <w:szCs w:val="16"/>
              </w:rPr>
              <w: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7F4C5A0" w14:textId="77777777" w:rsidR="00CF3957" w:rsidRPr="00E54654" w:rsidRDefault="00CF3957" w:rsidP="001E71E3">
            <w:pPr>
              <w:jc w:val="center"/>
              <w:rPr>
                <w:b/>
                <w:bCs/>
                <w:sz w:val="16"/>
                <w:szCs w:val="16"/>
              </w:rPr>
            </w:pPr>
            <w:r w:rsidRPr="00E54654">
              <w:rPr>
                <w:b/>
                <w:bCs/>
                <w:sz w:val="16"/>
                <w:szCs w:val="16"/>
              </w:rPr>
              <w:t>Stanje obveza na 31.12.2022. u kunama</w:t>
            </w:r>
          </w:p>
        </w:tc>
      </w:tr>
      <w:tr w:rsidR="00CF3957" w:rsidRPr="00E54654" w14:paraId="7B156858"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F46FDD" w14:textId="77777777" w:rsidR="00CF3957" w:rsidRPr="00E54654" w:rsidRDefault="00CF3957" w:rsidP="001E71E3">
            <w:pPr>
              <w:jc w:val="center"/>
              <w:rPr>
                <w:sz w:val="16"/>
                <w:szCs w:val="16"/>
              </w:rPr>
            </w:pPr>
            <w:r w:rsidRPr="00E54654">
              <w:rPr>
                <w:sz w:val="16"/>
                <w:szCs w:val="16"/>
              </w:rPr>
              <w:t>1.</w:t>
            </w:r>
          </w:p>
        </w:tc>
        <w:tc>
          <w:tcPr>
            <w:tcW w:w="3800" w:type="dxa"/>
            <w:tcBorders>
              <w:top w:val="nil"/>
              <w:left w:val="nil"/>
              <w:bottom w:val="single" w:sz="4" w:space="0" w:color="auto"/>
              <w:right w:val="single" w:sz="4" w:space="0" w:color="auto"/>
            </w:tcBorders>
            <w:shd w:val="clear" w:color="auto" w:fill="auto"/>
            <w:noWrap/>
            <w:vAlign w:val="bottom"/>
            <w:hideMark/>
          </w:tcPr>
          <w:p w14:paraId="25747F47" w14:textId="77777777" w:rsidR="00CF3957" w:rsidRPr="00E54654" w:rsidRDefault="00CF3957" w:rsidP="001E71E3">
            <w:pPr>
              <w:rPr>
                <w:sz w:val="16"/>
                <w:szCs w:val="16"/>
              </w:rPr>
            </w:pPr>
            <w:r w:rsidRPr="00E54654">
              <w:rPr>
                <w:sz w:val="16"/>
                <w:szCs w:val="16"/>
              </w:rPr>
              <w:t>Euro-USD obveznice V D-23 (</w:t>
            </w:r>
            <w:proofErr w:type="spellStart"/>
            <w:r w:rsidRPr="00E54654">
              <w:rPr>
                <w:sz w:val="16"/>
                <w:szCs w:val="16"/>
              </w:rPr>
              <w:t>cross</w:t>
            </w:r>
            <w:proofErr w:type="spellEnd"/>
            <w:r w:rsidRPr="00E54654">
              <w:rPr>
                <w:sz w:val="16"/>
                <w:szCs w:val="16"/>
              </w:rPr>
              <w:t xml:space="preserve"> </w:t>
            </w:r>
            <w:proofErr w:type="spellStart"/>
            <w:r w:rsidRPr="00E54654">
              <w:rPr>
                <w:sz w:val="16"/>
                <w:szCs w:val="16"/>
              </w:rPr>
              <w:t>currency</w:t>
            </w:r>
            <w:proofErr w:type="spellEnd"/>
            <w:r w:rsidRPr="00E54654">
              <w:rPr>
                <w:sz w:val="16"/>
                <w:szCs w:val="16"/>
              </w:rPr>
              <w:t xml:space="preserve"> </w:t>
            </w:r>
            <w:proofErr w:type="spellStart"/>
            <w:r w:rsidRPr="00E54654">
              <w:rPr>
                <w:sz w:val="16"/>
                <w:szCs w:val="16"/>
              </w:rPr>
              <w:t>swap</w:t>
            </w:r>
            <w:proofErr w:type="spellEnd"/>
            <w:r w:rsidRPr="00E54654">
              <w:rPr>
                <w:sz w:val="16"/>
                <w:szCs w:val="16"/>
              </w:rPr>
              <w:t>)</w:t>
            </w:r>
          </w:p>
        </w:tc>
        <w:tc>
          <w:tcPr>
            <w:tcW w:w="1445" w:type="dxa"/>
            <w:tcBorders>
              <w:top w:val="nil"/>
              <w:left w:val="nil"/>
              <w:bottom w:val="single" w:sz="4" w:space="0" w:color="auto"/>
              <w:right w:val="single" w:sz="4" w:space="0" w:color="auto"/>
            </w:tcBorders>
            <w:shd w:val="clear" w:color="auto" w:fill="auto"/>
            <w:noWrap/>
            <w:vAlign w:val="bottom"/>
            <w:hideMark/>
          </w:tcPr>
          <w:p w14:paraId="0143825D"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15ECECC6" w14:textId="77777777" w:rsidR="00CF3957" w:rsidRPr="00E54654" w:rsidRDefault="00CF3957" w:rsidP="001E71E3">
            <w:pPr>
              <w:jc w:val="right"/>
              <w:rPr>
                <w:sz w:val="16"/>
                <w:szCs w:val="16"/>
              </w:rPr>
            </w:pPr>
            <w:r w:rsidRPr="00E54654">
              <w:rPr>
                <w:sz w:val="16"/>
                <w:szCs w:val="16"/>
              </w:rPr>
              <w:t>1.167.406.023,82</w:t>
            </w:r>
          </w:p>
        </w:tc>
        <w:tc>
          <w:tcPr>
            <w:tcW w:w="1968" w:type="dxa"/>
            <w:tcBorders>
              <w:top w:val="nil"/>
              <w:left w:val="nil"/>
              <w:bottom w:val="single" w:sz="4" w:space="0" w:color="auto"/>
              <w:right w:val="single" w:sz="4" w:space="0" w:color="auto"/>
            </w:tcBorders>
            <w:shd w:val="clear" w:color="auto" w:fill="auto"/>
            <w:noWrap/>
            <w:vAlign w:val="bottom"/>
            <w:hideMark/>
          </w:tcPr>
          <w:p w14:paraId="3D442A3E" w14:textId="77777777" w:rsidR="00CF3957" w:rsidRPr="00E54654" w:rsidRDefault="00CF3957" w:rsidP="001E71E3">
            <w:pPr>
              <w:jc w:val="right"/>
              <w:rPr>
                <w:sz w:val="16"/>
                <w:szCs w:val="16"/>
              </w:rPr>
            </w:pPr>
            <w:r w:rsidRPr="00E54654">
              <w:rPr>
                <w:sz w:val="16"/>
                <w:szCs w:val="16"/>
              </w:rPr>
              <w:t>8.795.820.686,47</w:t>
            </w:r>
          </w:p>
        </w:tc>
      </w:tr>
      <w:tr w:rsidR="00CF3957" w:rsidRPr="00E54654" w14:paraId="086758E9"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50FBFD" w14:textId="77777777" w:rsidR="00CF3957" w:rsidRPr="00E54654" w:rsidRDefault="00CF3957" w:rsidP="001E71E3">
            <w:pPr>
              <w:jc w:val="center"/>
              <w:rPr>
                <w:sz w:val="16"/>
                <w:szCs w:val="16"/>
              </w:rPr>
            </w:pPr>
            <w:r w:rsidRPr="00E54654">
              <w:rPr>
                <w:sz w:val="16"/>
                <w:szCs w:val="16"/>
              </w:rPr>
              <w:t>2.</w:t>
            </w:r>
          </w:p>
        </w:tc>
        <w:tc>
          <w:tcPr>
            <w:tcW w:w="3800" w:type="dxa"/>
            <w:tcBorders>
              <w:top w:val="nil"/>
              <w:left w:val="nil"/>
              <w:bottom w:val="single" w:sz="4" w:space="0" w:color="auto"/>
              <w:right w:val="single" w:sz="4" w:space="0" w:color="auto"/>
            </w:tcBorders>
            <w:shd w:val="clear" w:color="auto" w:fill="auto"/>
            <w:noWrap/>
            <w:vAlign w:val="bottom"/>
            <w:hideMark/>
          </w:tcPr>
          <w:p w14:paraId="60E01B35" w14:textId="77777777" w:rsidR="00CF3957" w:rsidRPr="00E54654" w:rsidRDefault="00CF3957" w:rsidP="001E71E3">
            <w:pPr>
              <w:rPr>
                <w:sz w:val="16"/>
                <w:szCs w:val="16"/>
              </w:rPr>
            </w:pPr>
            <w:r w:rsidRPr="00E54654">
              <w:rPr>
                <w:sz w:val="16"/>
                <w:szCs w:val="16"/>
              </w:rPr>
              <w:t>Euro-USD obveznice VI D-24 (</w:t>
            </w:r>
            <w:proofErr w:type="spellStart"/>
            <w:r w:rsidRPr="00E54654">
              <w:rPr>
                <w:sz w:val="16"/>
                <w:szCs w:val="16"/>
              </w:rPr>
              <w:t>cross</w:t>
            </w:r>
            <w:proofErr w:type="spellEnd"/>
            <w:r w:rsidRPr="00E54654">
              <w:rPr>
                <w:sz w:val="16"/>
                <w:szCs w:val="16"/>
              </w:rPr>
              <w:t xml:space="preserve"> </w:t>
            </w:r>
            <w:proofErr w:type="spellStart"/>
            <w:r w:rsidRPr="00E54654">
              <w:rPr>
                <w:sz w:val="16"/>
                <w:szCs w:val="16"/>
              </w:rPr>
              <w:t>currency</w:t>
            </w:r>
            <w:proofErr w:type="spellEnd"/>
            <w:r w:rsidRPr="00E54654">
              <w:rPr>
                <w:sz w:val="16"/>
                <w:szCs w:val="16"/>
              </w:rPr>
              <w:t xml:space="preserve"> </w:t>
            </w:r>
            <w:proofErr w:type="spellStart"/>
            <w:r w:rsidRPr="00E54654">
              <w:rPr>
                <w:sz w:val="16"/>
                <w:szCs w:val="16"/>
              </w:rPr>
              <w:t>swap</w:t>
            </w:r>
            <w:proofErr w:type="spellEnd"/>
            <w:r w:rsidRPr="00E54654">
              <w:rPr>
                <w:sz w:val="16"/>
                <w:szCs w:val="16"/>
              </w:rPr>
              <w:t>)</w:t>
            </w:r>
          </w:p>
        </w:tc>
        <w:tc>
          <w:tcPr>
            <w:tcW w:w="1445" w:type="dxa"/>
            <w:tcBorders>
              <w:top w:val="nil"/>
              <w:left w:val="nil"/>
              <w:bottom w:val="single" w:sz="4" w:space="0" w:color="auto"/>
              <w:right w:val="single" w:sz="4" w:space="0" w:color="auto"/>
            </w:tcBorders>
            <w:shd w:val="clear" w:color="auto" w:fill="auto"/>
            <w:noWrap/>
            <w:vAlign w:val="bottom"/>
            <w:hideMark/>
          </w:tcPr>
          <w:p w14:paraId="1080BBAA"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35AC2274" w14:textId="77777777" w:rsidR="00CF3957" w:rsidRPr="00E54654" w:rsidRDefault="00CF3957" w:rsidP="001E71E3">
            <w:pPr>
              <w:jc w:val="right"/>
              <w:rPr>
                <w:sz w:val="16"/>
                <w:szCs w:val="16"/>
              </w:rPr>
            </w:pPr>
            <w:r w:rsidRPr="00E54654">
              <w:rPr>
                <w:sz w:val="16"/>
                <w:szCs w:val="16"/>
              </w:rPr>
              <w:t>1.297.257.227,5</w:t>
            </w:r>
            <w:r>
              <w:rPr>
                <w:sz w:val="16"/>
                <w:szCs w:val="16"/>
              </w:rPr>
              <w:t>8</w:t>
            </w:r>
          </w:p>
        </w:tc>
        <w:tc>
          <w:tcPr>
            <w:tcW w:w="1968" w:type="dxa"/>
            <w:tcBorders>
              <w:top w:val="nil"/>
              <w:left w:val="nil"/>
              <w:bottom w:val="single" w:sz="4" w:space="0" w:color="auto"/>
              <w:right w:val="single" w:sz="4" w:space="0" w:color="auto"/>
            </w:tcBorders>
            <w:shd w:val="clear" w:color="auto" w:fill="auto"/>
            <w:noWrap/>
            <w:vAlign w:val="bottom"/>
            <w:hideMark/>
          </w:tcPr>
          <w:p w14:paraId="27B290BD" w14:textId="77777777" w:rsidR="00CF3957" w:rsidRPr="00E54654" w:rsidRDefault="00CF3957" w:rsidP="001E71E3">
            <w:pPr>
              <w:jc w:val="right"/>
              <w:rPr>
                <w:sz w:val="16"/>
                <w:szCs w:val="16"/>
              </w:rPr>
            </w:pPr>
            <w:r w:rsidRPr="00E54654">
              <w:rPr>
                <w:sz w:val="16"/>
                <w:szCs w:val="16"/>
              </w:rPr>
              <w:t>9.774.184.581,</w:t>
            </w:r>
            <w:r>
              <w:rPr>
                <w:sz w:val="16"/>
                <w:szCs w:val="16"/>
              </w:rPr>
              <w:t>15</w:t>
            </w:r>
          </w:p>
        </w:tc>
      </w:tr>
      <w:tr w:rsidR="00CF3957" w:rsidRPr="00E54654" w14:paraId="68AE47C8"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CAA999" w14:textId="77777777" w:rsidR="00CF3957" w:rsidRPr="00E54654" w:rsidRDefault="00CF3957" w:rsidP="001E71E3">
            <w:pPr>
              <w:jc w:val="center"/>
              <w:rPr>
                <w:sz w:val="16"/>
                <w:szCs w:val="16"/>
              </w:rPr>
            </w:pPr>
            <w:r w:rsidRPr="00E54654">
              <w:rPr>
                <w:sz w:val="16"/>
                <w:szCs w:val="16"/>
              </w:rPr>
              <w:t>3.</w:t>
            </w:r>
          </w:p>
        </w:tc>
        <w:tc>
          <w:tcPr>
            <w:tcW w:w="3800" w:type="dxa"/>
            <w:tcBorders>
              <w:top w:val="nil"/>
              <w:left w:val="nil"/>
              <w:bottom w:val="single" w:sz="4" w:space="0" w:color="auto"/>
              <w:right w:val="single" w:sz="4" w:space="0" w:color="auto"/>
            </w:tcBorders>
            <w:shd w:val="clear" w:color="auto" w:fill="auto"/>
            <w:noWrap/>
            <w:vAlign w:val="bottom"/>
            <w:hideMark/>
          </w:tcPr>
          <w:p w14:paraId="1CD95350" w14:textId="77777777" w:rsidR="00CF3957" w:rsidRPr="00E54654" w:rsidRDefault="00CF3957" w:rsidP="001E71E3">
            <w:pPr>
              <w:rPr>
                <w:sz w:val="16"/>
                <w:szCs w:val="16"/>
              </w:rPr>
            </w:pPr>
            <w:r w:rsidRPr="00E54654">
              <w:rPr>
                <w:sz w:val="16"/>
                <w:szCs w:val="16"/>
              </w:rPr>
              <w:t>Euro-EUR obveznice/X</w:t>
            </w:r>
          </w:p>
        </w:tc>
        <w:tc>
          <w:tcPr>
            <w:tcW w:w="1445" w:type="dxa"/>
            <w:tcBorders>
              <w:top w:val="nil"/>
              <w:left w:val="nil"/>
              <w:bottom w:val="single" w:sz="4" w:space="0" w:color="auto"/>
              <w:right w:val="single" w:sz="4" w:space="0" w:color="auto"/>
            </w:tcBorders>
            <w:shd w:val="clear" w:color="auto" w:fill="auto"/>
            <w:noWrap/>
            <w:vAlign w:val="bottom"/>
            <w:hideMark/>
          </w:tcPr>
          <w:p w14:paraId="585DD9EF"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237E96AB" w14:textId="77777777" w:rsidR="00CF3957" w:rsidRPr="00E54654" w:rsidRDefault="00CF3957" w:rsidP="001E71E3">
            <w:pPr>
              <w:jc w:val="right"/>
              <w:rPr>
                <w:sz w:val="16"/>
                <w:szCs w:val="16"/>
              </w:rPr>
            </w:pPr>
            <w:r w:rsidRPr="00E54654">
              <w:rPr>
                <w:sz w:val="16"/>
                <w:szCs w:val="16"/>
              </w:rPr>
              <w:t>1.500.000.000,00</w:t>
            </w:r>
          </w:p>
        </w:tc>
        <w:tc>
          <w:tcPr>
            <w:tcW w:w="1968" w:type="dxa"/>
            <w:tcBorders>
              <w:top w:val="nil"/>
              <w:left w:val="nil"/>
              <w:bottom w:val="single" w:sz="4" w:space="0" w:color="auto"/>
              <w:right w:val="single" w:sz="4" w:space="0" w:color="auto"/>
            </w:tcBorders>
            <w:shd w:val="clear" w:color="auto" w:fill="auto"/>
            <w:noWrap/>
            <w:vAlign w:val="bottom"/>
            <w:hideMark/>
          </w:tcPr>
          <w:p w14:paraId="4A66E6BA" w14:textId="77777777" w:rsidR="00CF3957" w:rsidRPr="00E54654" w:rsidRDefault="00CF3957" w:rsidP="001E71E3">
            <w:pPr>
              <w:jc w:val="right"/>
              <w:rPr>
                <w:sz w:val="16"/>
                <w:szCs w:val="16"/>
              </w:rPr>
            </w:pPr>
            <w:r w:rsidRPr="00E54654">
              <w:rPr>
                <w:sz w:val="16"/>
                <w:szCs w:val="16"/>
              </w:rPr>
              <w:t>11.301.750.000,00</w:t>
            </w:r>
          </w:p>
        </w:tc>
      </w:tr>
      <w:tr w:rsidR="00CF3957" w:rsidRPr="00E54654" w14:paraId="4B09208E"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04B82D" w14:textId="77777777" w:rsidR="00CF3957" w:rsidRPr="00E54654" w:rsidRDefault="00CF3957" w:rsidP="001E71E3">
            <w:pPr>
              <w:jc w:val="center"/>
              <w:rPr>
                <w:sz w:val="16"/>
                <w:szCs w:val="16"/>
              </w:rPr>
            </w:pPr>
            <w:r w:rsidRPr="00E54654">
              <w:rPr>
                <w:sz w:val="16"/>
                <w:szCs w:val="16"/>
              </w:rPr>
              <w:t>4.</w:t>
            </w:r>
          </w:p>
        </w:tc>
        <w:tc>
          <w:tcPr>
            <w:tcW w:w="3800" w:type="dxa"/>
            <w:tcBorders>
              <w:top w:val="nil"/>
              <w:left w:val="nil"/>
              <w:bottom w:val="single" w:sz="4" w:space="0" w:color="auto"/>
              <w:right w:val="single" w:sz="4" w:space="0" w:color="auto"/>
            </w:tcBorders>
            <w:shd w:val="clear" w:color="auto" w:fill="auto"/>
            <w:noWrap/>
            <w:vAlign w:val="bottom"/>
            <w:hideMark/>
          </w:tcPr>
          <w:p w14:paraId="2D1A34C5" w14:textId="77777777" w:rsidR="00CF3957" w:rsidRPr="00E54654" w:rsidRDefault="00CF3957" w:rsidP="001E71E3">
            <w:pPr>
              <w:rPr>
                <w:sz w:val="16"/>
                <w:szCs w:val="16"/>
              </w:rPr>
            </w:pPr>
            <w:r w:rsidRPr="00E54654">
              <w:rPr>
                <w:sz w:val="16"/>
                <w:szCs w:val="16"/>
              </w:rPr>
              <w:t>Euro-EUR obveznice/XI</w:t>
            </w:r>
          </w:p>
        </w:tc>
        <w:tc>
          <w:tcPr>
            <w:tcW w:w="1445" w:type="dxa"/>
            <w:tcBorders>
              <w:top w:val="nil"/>
              <w:left w:val="nil"/>
              <w:bottom w:val="single" w:sz="4" w:space="0" w:color="auto"/>
              <w:right w:val="single" w:sz="4" w:space="0" w:color="auto"/>
            </w:tcBorders>
            <w:shd w:val="clear" w:color="auto" w:fill="auto"/>
            <w:noWrap/>
            <w:vAlign w:val="bottom"/>
            <w:hideMark/>
          </w:tcPr>
          <w:p w14:paraId="616739AA"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501C1AC4" w14:textId="77777777" w:rsidR="00CF3957" w:rsidRPr="00E54654" w:rsidRDefault="00CF3957" w:rsidP="001E71E3">
            <w:pPr>
              <w:jc w:val="right"/>
              <w:rPr>
                <w:sz w:val="16"/>
                <w:szCs w:val="16"/>
              </w:rPr>
            </w:pPr>
            <w:r w:rsidRPr="00E54654">
              <w:rPr>
                <w:sz w:val="16"/>
                <w:szCs w:val="16"/>
              </w:rPr>
              <w:t>1.250.000.000,00</w:t>
            </w:r>
          </w:p>
        </w:tc>
        <w:tc>
          <w:tcPr>
            <w:tcW w:w="1968" w:type="dxa"/>
            <w:tcBorders>
              <w:top w:val="nil"/>
              <w:left w:val="nil"/>
              <w:bottom w:val="single" w:sz="4" w:space="0" w:color="auto"/>
              <w:right w:val="single" w:sz="4" w:space="0" w:color="auto"/>
            </w:tcBorders>
            <w:shd w:val="clear" w:color="auto" w:fill="auto"/>
            <w:noWrap/>
            <w:vAlign w:val="bottom"/>
            <w:hideMark/>
          </w:tcPr>
          <w:p w14:paraId="613BB7DA" w14:textId="77777777" w:rsidR="00CF3957" w:rsidRPr="00E54654" w:rsidRDefault="00CF3957" w:rsidP="001E71E3">
            <w:pPr>
              <w:jc w:val="right"/>
              <w:rPr>
                <w:sz w:val="16"/>
                <w:szCs w:val="16"/>
              </w:rPr>
            </w:pPr>
            <w:r w:rsidRPr="00E54654">
              <w:rPr>
                <w:sz w:val="16"/>
                <w:szCs w:val="16"/>
              </w:rPr>
              <w:t>9.418.125.000,00</w:t>
            </w:r>
          </w:p>
        </w:tc>
      </w:tr>
      <w:tr w:rsidR="00CF3957" w:rsidRPr="00E54654" w14:paraId="29961C29"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32B2D1" w14:textId="77777777" w:rsidR="00CF3957" w:rsidRPr="00E54654" w:rsidRDefault="00CF3957" w:rsidP="001E71E3">
            <w:pPr>
              <w:jc w:val="center"/>
              <w:rPr>
                <w:sz w:val="16"/>
                <w:szCs w:val="16"/>
              </w:rPr>
            </w:pPr>
            <w:r w:rsidRPr="00E54654">
              <w:rPr>
                <w:sz w:val="16"/>
                <w:szCs w:val="16"/>
              </w:rPr>
              <w:t>5.</w:t>
            </w:r>
          </w:p>
        </w:tc>
        <w:tc>
          <w:tcPr>
            <w:tcW w:w="3800" w:type="dxa"/>
            <w:tcBorders>
              <w:top w:val="nil"/>
              <w:left w:val="nil"/>
              <w:bottom w:val="single" w:sz="4" w:space="0" w:color="auto"/>
              <w:right w:val="single" w:sz="4" w:space="0" w:color="auto"/>
            </w:tcBorders>
            <w:shd w:val="clear" w:color="auto" w:fill="auto"/>
            <w:noWrap/>
            <w:vAlign w:val="bottom"/>
            <w:hideMark/>
          </w:tcPr>
          <w:p w14:paraId="0C02BD7E" w14:textId="77777777" w:rsidR="00CF3957" w:rsidRPr="00E54654" w:rsidRDefault="00CF3957" w:rsidP="001E71E3">
            <w:pPr>
              <w:rPr>
                <w:sz w:val="16"/>
                <w:szCs w:val="16"/>
              </w:rPr>
            </w:pPr>
            <w:r w:rsidRPr="00E54654">
              <w:rPr>
                <w:sz w:val="16"/>
                <w:szCs w:val="16"/>
              </w:rPr>
              <w:t>Euro-EUR obveznice/XII</w:t>
            </w:r>
          </w:p>
        </w:tc>
        <w:tc>
          <w:tcPr>
            <w:tcW w:w="1445" w:type="dxa"/>
            <w:tcBorders>
              <w:top w:val="nil"/>
              <w:left w:val="nil"/>
              <w:bottom w:val="single" w:sz="4" w:space="0" w:color="auto"/>
              <w:right w:val="single" w:sz="4" w:space="0" w:color="auto"/>
            </w:tcBorders>
            <w:shd w:val="clear" w:color="auto" w:fill="auto"/>
            <w:noWrap/>
            <w:vAlign w:val="bottom"/>
            <w:hideMark/>
          </w:tcPr>
          <w:p w14:paraId="602C3BC6"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1BFE1331" w14:textId="77777777" w:rsidR="00CF3957" w:rsidRPr="00E54654" w:rsidRDefault="00CF3957" w:rsidP="001E71E3">
            <w:pPr>
              <w:jc w:val="right"/>
              <w:rPr>
                <w:sz w:val="16"/>
                <w:szCs w:val="16"/>
              </w:rPr>
            </w:pPr>
            <w:r w:rsidRPr="00E54654">
              <w:rPr>
                <w:sz w:val="16"/>
                <w:szCs w:val="16"/>
              </w:rPr>
              <w:t>1.275.000.000,00</w:t>
            </w:r>
          </w:p>
        </w:tc>
        <w:tc>
          <w:tcPr>
            <w:tcW w:w="1968" w:type="dxa"/>
            <w:tcBorders>
              <w:top w:val="nil"/>
              <w:left w:val="nil"/>
              <w:bottom w:val="single" w:sz="4" w:space="0" w:color="auto"/>
              <w:right w:val="single" w:sz="4" w:space="0" w:color="auto"/>
            </w:tcBorders>
            <w:shd w:val="clear" w:color="auto" w:fill="auto"/>
            <w:noWrap/>
            <w:vAlign w:val="bottom"/>
            <w:hideMark/>
          </w:tcPr>
          <w:p w14:paraId="7D3306BB" w14:textId="77777777" w:rsidR="00CF3957" w:rsidRPr="00E54654" w:rsidRDefault="00CF3957" w:rsidP="001E71E3">
            <w:pPr>
              <w:jc w:val="right"/>
              <w:rPr>
                <w:sz w:val="16"/>
                <w:szCs w:val="16"/>
              </w:rPr>
            </w:pPr>
            <w:r w:rsidRPr="00E54654">
              <w:rPr>
                <w:sz w:val="16"/>
                <w:szCs w:val="16"/>
              </w:rPr>
              <w:t>9.606.487.500,00</w:t>
            </w:r>
          </w:p>
        </w:tc>
      </w:tr>
      <w:tr w:rsidR="00CF3957" w:rsidRPr="00E54654" w14:paraId="3518418D"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C31DD8" w14:textId="77777777" w:rsidR="00CF3957" w:rsidRPr="00E54654" w:rsidRDefault="00CF3957" w:rsidP="001E71E3">
            <w:pPr>
              <w:jc w:val="center"/>
              <w:rPr>
                <w:sz w:val="16"/>
                <w:szCs w:val="16"/>
              </w:rPr>
            </w:pPr>
            <w:r w:rsidRPr="00E54654">
              <w:rPr>
                <w:sz w:val="16"/>
                <w:szCs w:val="16"/>
              </w:rPr>
              <w:t>6.</w:t>
            </w:r>
          </w:p>
        </w:tc>
        <w:tc>
          <w:tcPr>
            <w:tcW w:w="3800" w:type="dxa"/>
            <w:tcBorders>
              <w:top w:val="nil"/>
              <w:left w:val="nil"/>
              <w:bottom w:val="single" w:sz="4" w:space="0" w:color="auto"/>
              <w:right w:val="single" w:sz="4" w:space="0" w:color="auto"/>
            </w:tcBorders>
            <w:shd w:val="clear" w:color="auto" w:fill="auto"/>
            <w:noWrap/>
            <w:vAlign w:val="bottom"/>
            <w:hideMark/>
          </w:tcPr>
          <w:p w14:paraId="1E5CD637" w14:textId="77777777" w:rsidR="00CF3957" w:rsidRPr="00E54654" w:rsidRDefault="00CF3957" w:rsidP="001E71E3">
            <w:pPr>
              <w:rPr>
                <w:sz w:val="16"/>
                <w:szCs w:val="16"/>
              </w:rPr>
            </w:pPr>
            <w:r w:rsidRPr="00E54654">
              <w:rPr>
                <w:sz w:val="16"/>
                <w:szCs w:val="16"/>
              </w:rPr>
              <w:t>Euro-EUR obveznice/XIII</w:t>
            </w:r>
          </w:p>
        </w:tc>
        <w:tc>
          <w:tcPr>
            <w:tcW w:w="1445" w:type="dxa"/>
            <w:tcBorders>
              <w:top w:val="nil"/>
              <w:left w:val="nil"/>
              <w:bottom w:val="single" w:sz="4" w:space="0" w:color="auto"/>
              <w:right w:val="single" w:sz="4" w:space="0" w:color="auto"/>
            </w:tcBorders>
            <w:shd w:val="clear" w:color="auto" w:fill="auto"/>
            <w:noWrap/>
            <w:vAlign w:val="bottom"/>
            <w:hideMark/>
          </w:tcPr>
          <w:p w14:paraId="6A92C170"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1B13CE24" w14:textId="77777777" w:rsidR="00CF3957" w:rsidRPr="00E54654" w:rsidRDefault="00CF3957" w:rsidP="001E71E3">
            <w:pPr>
              <w:jc w:val="right"/>
              <w:rPr>
                <w:sz w:val="16"/>
                <w:szCs w:val="16"/>
              </w:rPr>
            </w:pPr>
            <w:r w:rsidRPr="00E54654">
              <w:rPr>
                <w:sz w:val="16"/>
                <w:szCs w:val="16"/>
              </w:rPr>
              <w:t>750.000.000,00</w:t>
            </w:r>
          </w:p>
        </w:tc>
        <w:tc>
          <w:tcPr>
            <w:tcW w:w="1968" w:type="dxa"/>
            <w:tcBorders>
              <w:top w:val="nil"/>
              <w:left w:val="nil"/>
              <w:bottom w:val="single" w:sz="4" w:space="0" w:color="auto"/>
              <w:right w:val="single" w:sz="4" w:space="0" w:color="auto"/>
            </w:tcBorders>
            <w:shd w:val="clear" w:color="auto" w:fill="auto"/>
            <w:noWrap/>
            <w:vAlign w:val="bottom"/>
            <w:hideMark/>
          </w:tcPr>
          <w:p w14:paraId="61D7F67F" w14:textId="77777777" w:rsidR="00CF3957" w:rsidRPr="00E54654" w:rsidRDefault="00CF3957" w:rsidP="001E71E3">
            <w:pPr>
              <w:jc w:val="right"/>
              <w:rPr>
                <w:sz w:val="16"/>
                <w:szCs w:val="16"/>
              </w:rPr>
            </w:pPr>
            <w:r w:rsidRPr="00E54654">
              <w:rPr>
                <w:sz w:val="16"/>
                <w:szCs w:val="16"/>
              </w:rPr>
              <w:t>5.650.875.000,00</w:t>
            </w:r>
          </w:p>
        </w:tc>
      </w:tr>
      <w:tr w:rsidR="00CF3957" w:rsidRPr="00E54654" w14:paraId="235ACB50"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9788C6" w14:textId="77777777" w:rsidR="00CF3957" w:rsidRPr="00E54654" w:rsidRDefault="00CF3957" w:rsidP="001E71E3">
            <w:pPr>
              <w:jc w:val="center"/>
              <w:rPr>
                <w:sz w:val="16"/>
                <w:szCs w:val="16"/>
              </w:rPr>
            </w:pPr>
            <w:r w:rsidRPr="00E54654">
              <w:rPr>
                <w:sz w:val="16"/>
                <w:szCs w:val="16"/>
              </w:rPr>
              <w:t>7.</w:t>
            </w:r>
          </w:p>
        </w:tc>
        <w:tc>
          <w:tcPr>
            <w:tcW w:w="3800" w:type="dxa"/>
            <w:tcBorders>
              <w:top w:val="nil"/>
              <w:left w:val="nil"/>
              <w:bottom w:val="single" w:sz="4" w:space="0" w:color="auto"/>
              <w:right w:val="single" w:sz="4" w:space="0" w:color="auto"/>
            </w:tcBorders>
            <w:shd w:val="clear" w:color="auto" w:fill="auto"/>
            <w:noWrap/>
            <w:vAlign w:val="bottom"/>
            <w:hideMark/>
          </w:tcPr>
          <w:p w14:paraId="166709DF" w14:textId="77777777" w:rsidR="00CF3957" w:rsidRPr="00E54654" w:rsidRDefault="00CF3957" w:rsidP="001E71E3">
            <w:pPr>
              <w:rPr>
                <w:sz w:val="16"/>
                <w:szCs w:val="16"/>
              </w:rPr>
            </w:pPr>
            <w:r w:rsidRPr="00E54654">
              <w:rPr>
                <w:sz w:val="16"/>
                <w:szCs w:val="16"/>
              </w:rPr>
              <w:t>Euro-EUR obveznice/XIV</w:t>
            </w:r>
          </w:p>
        </w:tc>
        <w:tc>
          <w:tcPr>
            <w:tcW w:w="1445" w:type="dxa"/>
            <w:tcBorders>
              <w:top w:val="nil"/>
              <w:left w:val="nil"/>
              <w:bottom w:val="single" w:sz="4" w:space="0" w:color="auto"/>
              <w:right w:val="single" w:sz="4" w:space="0" w:color="auto"/>
            </w:tcBorders>
            <w:shd w:val="clear" w:color="auto" w:fill="auto"/>
            <w:noWrap/>
            <w:vAlign w:val="bottom"/>
            <w:hideMark/>
          </w:tcPr>
          <w:p w14:paraId="09F25FE5"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32558A4A" w14:textId="77777777" w:rsidR="00CF3957" w:rsidRPr="00E54654" w:rsidRDefault="00CF3957" w:rsidP="001E71E3">
            <w:pPr>
              <w:jc w:val="right"/>
              <w:rPr>
                <w:sz w:val="16"/>
                <w:szCs w:val="16"/>
              </w:rPr>
            </w:pPr>
            <w:r w:rsidRPr="00E54654">
              <w:rPr>
                <w:sz w:val="16"/>
                <w:szCs w:val="16"/>
              </w:rPr>
              <w:t>1.500.000.000,00</w:t>
            </w:r>
          </w:p>
        </w:tc>
        <w:tc>
          <w:tcPr>
            <w:tcW w:w="1968" w:type="dxa"/>
            <w:tcBorders>
              <w:top w:val="nil"/>
              <w:left w:val="nil"/>
              <w:bottom w:val="single" w:sz="4" w:space="0" w:color="auto"/>
              <w:right w:val="single" w:sz="4" w:space="0" w:color="auto"/>
            </w:tcBorders>
            <w:shd w:val="clear" w:color="auto" w:fill="auto"/>
            <w:noWrap/>
            <w:vAlign w:val="bottom"/>
            <w:hideMark/>
          </w:tcPr>
          <w:p w14:paraId="16A71845" w14:textId="77777777" w:rsidR="00CF3957" w:rsidRPr="00E54654" w:rsidRDefault="00CF3957" w:rsidP="001E71E3">
            <w:pPr>
              <w:jc w:val="right"/>
              <w:rPr>
                <w:sz w:val="16"/>
                <w:szCs w:val="16"/>
              </w:rPr>
            </w:pPr>
            <w:r w:rsidRPr="00E54654">
              <w:rPr>
                <w:sz w:val="16"/>
                <w:szCs w:val="16"/>
              </w:rPr>
              <w:t>11.301.750.000,00</w:t>
            </w:r>
          </w:p>
        </w:tc>
      </w:tr>
      <w:tr w:rsidR="00CF3957" w:rsidRPr="00E54654" w14:paraId="7B0C6A4B"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367109" w14:textId="77777777" w:rsidR="00CF3957" w:rsidRPr="00E54654" w:rsidRDefault="00CF3957" w:rsidP="001E71E3">
            <w:pPr>
              <w:jc w:val="center"/>
              <w:rPr>
                <w:sz w:val="16"/>
                <w:szCs w:val="16"/>
              </w:rPr>
            </w:pPr>
            <w:r w:rsidRPr="00E54654">
              <w:rPr>
                <w:sz w:val="16"/>
                <w:szCs w:val="16"/>
              </w:rPr>
              <w:t>8.</w:t>
            </w:r>
          </w:p>
        </w:tc>
        <w:tc>
          <w:tcPr>
            <w:tcW w:w="3800" w:type="dxa"/>
            <w:tcBorders>
              <w:top w:val="nil"/>
              <w:left w:val="nil"/>
              <w:bottom w:val="single" w:sz="4" w:space="0" w:color="auto"/>
              <w:right w:val="single" w:sz="4" w:space="0" w:color="auto"/>
            </w:tcBorders>
            <w:shd w:val="clear" w:color="auto" w:fill="auto"/>
            <w:noWrap/>
            <w:vAlign w:val="bottom"/>
            <w:hideMark/>
          </w:tcPr>
          <w:p w14:paraId="5C9B5037" w14:textId="77777777" w:rsidR="00CF3957" w:rsidRPr="00E54654" w:rsidRDefault="00CF3957" w:rsidP="001E71E3">
            <w:pPr>
              <w:rPr>
                <w:sz w:val="16"/>
                <w:szCs w:val="16"/>
              </w:rPr>
            </w:pPr>
            <w:r w:rsidRPr="00E54654">
              <w:rPr>
                <w:sz w:val="16"/>
                <w:szCs w:val="16"/>
              </w:rPr>
              <w:t>Euro-EUR obveznice/XV</w:t>
            </w:r>
          </w:p>
        </w:tc>
        <w:tc>
          <w:tcPr>
            <w:tcW w:w="1445" w:type="dxa"/>
            <w:tcBorders>
              <w:top w:val="nil"/>
              <w:left w:val="nil"/>
              <w:bottom w:val="single" w:sz="4" w:space="0" w:color="auto"/>
              <w:right w:val="single" w:sz="4" w:space="0" w:color="auto"/>
            </w:tcBorders>
            <w:shd w:val="clear" w:color="auto" w:fill="auto"/>
            <w:noWrap/>
            <w:vAlign w:val="bottom"/>
            <w:hideMark/>
          </w:tcPr>
          <w:p w14:paraId="4D614830"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281B3D18" w14:textId="77777777" w:rsidR="00CF3957" w:rsidRPr="00E54654" w:rsidRDefault="00CF3957" w:rsidP="001E71E3">
            <w:pPr>
              <w:jc w:val="right"/>
              <w:rPr>
                <w:sz w:val="16"/>
                <w:szCs w:val="16"/>
              </w:rPr>
            </w:pPr>
            <w:r w:rsidRPr="00E54654">
              <w:rPr>
                <w:sz w:val="16"/>
                <w:szCs w:val="16"/>
              </w:rPr>
              <w:t>2.000.000.000,00</w:t>
            </w:r>
          </w:p>
        </w:tc>
        <w:tc>
          <w:tcPr>
            <w:tcW w:w="1968" w:type="dxa"/>
            <w:tcBorders>
              <w:top w:val="nil"/>
              <w:left w:val="nil"/>
              <w:bottom w:val="single" w:sz="4" w:space="0" w:color="auto"/>
              <w:right w:val="single" w:sz="4" w:space="0" w:color="auto"/>
            </w:tcBorders>
            <w:shd w:val="clear" w:color="auto" w:fill="auto"/>
            <w:noWrap/>
            <w:vAlign w:val="bottom"/>
            <w:hideMark/>
          </w:tcPr>
          <w:p w14:paraId="38038B86" w14:textId="77777777" w:rsidR="00CF3957" w:rsidRPr="00E54654" w:rsidRDefault="00CF3957" w:rsidP="001E71E3">
            <w:pPr>
              <w:jc w:val="right"/>
              <w:rPr>
                <w:sz w:val="16"/>
                <w:szCs w:val="16"/>
              </w:rPr>
            </w:pPr>
            <w:r w:rsidRPr="00E54654">
              <w:rPr>
                <w:sz w:val="16"/>
                <w:szCs w:val="16"/>
              </w:rPr>
              <w:t>15.069.000.000,00</w:t>
            </w:r>
          </w:p>
        </w:tc>
      </w:tr>
      <w:tr w:rsidR="00CF3957" w:rsidRPr="00E54654" w14:paraId="05435AF7"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56BE8D" w14:textId="77777777" w:rsidR="00CF3957" w:rsidRPr="00E54654" w:rsidRDefault="00CF3957" w:rsidP="001E71E3">
            <w:pPr>
              <w:jc w:val="center"/>
              <w:rPr>
                <w:sz w:val="16"/>
                <w:szCs w:val="16"/>
              </w:rPr>
            </w:pPr>
            <w:r w:rsidRPr="00E54654">
              <w:rPr>
                <w:sz w:val="16"/>
                <w:szCs w:val="16"/>
              </w:rPr>
              <w:t>9.</w:t>
            </w:r>
          </w:p>
        </w:tc>
        <w:tc>
          <w:tcPr>
            <w:tcW w:w="3800" w:type="dxa"/>
            <w:tcBorders>
              <w:top w:val="nil"/>
              <w:left w:val="nil"/>
              <w:bottom w:val="single" w:sz="4" w:space="0" w:color="auto"/>
              <w:right w:val="single" w:sz="4" w:space="0" w:color="auto"/>
            </w:tcBorders>
            <w:shd w:val="clear" w:color="auto" w:fill="auto"/>
            <w:noWrap/>
            <w:vAlign w:val="bottom"/>
            <w:hideMark/>
          </w:tcPr>
          <w:p w14:paraId="68D8F213" w14:textId="77777777" w:rsidR="00CF3957" w:rsidRPr="00E54654" w:rsidRDefault="00CF3957" w:rsidP="001E71E3">
            <w:pPr>
              <w:rPr>
                <w:sz w:val="16"/>
                <w:szCs w:val="16"/>
              </w:rPr>
            </w:pPr>
            <w:r w:rsidRPr="00E54654">
              <w:rPr>
                <w:sz w:val="16"/>
                <w:szCs w:val="16"/>
              </w:rPr>
              <w:t>Euro-EUR obveznice/XVI</w:t>
            </w:r>
          </w:p>
        </w:tc>
        <w:tc>
          <w:tcPr>
            <w:tcW w:w="1445" w:type="dxa"/>
            <w:tcBorders>
              <w:top w:val="nil"/>
              <w:left w:val="nil"/>
              <w:bottom w:val="single" w:sz="4" w:space="0" w:color="auto"/>
              <w:right w:val="single" w:sz="4" w:space="0" w:color="auto"/>
            </w:tcBorders>
            <w:shd w:val="clear" w:color="auto" w:fill="auto"/>
            <w:noWrap/>
            <w:vAlign w:val="bottom"/>
            <w:hideMark/>
          </w:tcPr>
          <w:p w14:paraId="65CBAE59"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51EC784E" w14:textId="77777777" w:rsidR="00CF3957" w:rsidRPr="00E54654" w:rsidRDefault="00CF3957" w:rsidP="001E71E3">
            <w:pPr>
              <w:jc w:val="right"/>
              <w:rPr>
                <w:sz w:val="16"/>
                <w:szCs w:val="16"/>
              </w:rPr>
            </w:pPr>
            <w:r w:rsidRPr="00E54654">
              <w:rPr>
                <w:sz w:val="16"/>
                <w:szCs w:val="16"/>
              </w:rPr>
              <w:t>1.000.000.000,00</w:t>
            </w:r>
          </w:p>
        </w:tc>
        <w:tc>
          <w:tcPr>
            <w:tcW w:w="1968" w:type="dxa"/>
            <w:tcBorders>
              <w:top w:val="nil"/>
              <w:left w:val="nil"/>
              <w:bottom w:val="single" w:sz="4" w:space="0" w:color="auto"/>
              <w:right w:val="single" w:sz="4" w:space="0" w:color="auto"/>
            </w:tcBorders>
            <w:shd w:val="clear" w:color="auto" w:fill="auto"/>
            <w:noWrap/>
            <w:vAlign w:val="bottom"/>
            <w:hideMark/>
          </w:tcPr>
          <w:p w14:paraId="77D0185B" w14:textId="77777777" w:rsidR="00CF3957" w:rsidRPr="00E54654" w:rsidRDefault="00CF3957" w:rsidP="001E71E3">
            <w:pPr>
              <w:jc w:val="right"/>
              <w:rPr>
                <w:sz w:val="16"/>
                <w:szCs w:val="16"/>
              </w:rPr>
            </w:pPr>
            <w:r w:rsidRPr="00E54654">
              <w:rPr>
                <w:sz w:val="16"/>
                <w:szCs w:val="16"/>
              </w:rPr>
              <w:t>7.534.500.000,00</w:t>
            </w:r>
          </w:p>
        </w:tc>
      </w:tr>
      <w:tr w:rsidR="00CF3957" w:rsidRPr="00E54654" w14:paraId="136FA415"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056B9C" w14:textId="77777777" w:rsidR="00CF3957" w:rsidRPr="00E54654" w:rsidRDefault="00CF3957" w:rsidP="001E71E3">
            <w:pPr>
              <w:jc w:val="center"/>
              <w:rPr>
                <w:sz w:val="16"/>
                <w:szCs w:val="16"/>
              </w:rPr>
            </w:pPr>
            <w:r w:rsidRPr="00E54654">
              <w:rPr>
                <w:sz w:val="16"/>
                <w:szCs w:val="16"/>
              </w:rPr>
              <w:t>10.</w:t>
            </w:r>
          </w:p>
        </w:tc>
        <w:tc>
          <w:tcPr>
            <w:tcW w:w="3800" w:type="dxa"/>
            <w:tcBorders>
              <w:top w:val="nil"/>
              <w:left w:val="nil"/>
              <w:bottom w:val="single" w:sz="4" w:space="0" w:color="auto"/>
              <w:right w:val="single" w:sz="4" w:space="0" w:color="auto"/>
            </w:tcBorders>
            <w:shd w:val="clear" w:color="auto" w:fill="auto"/>
            <w:noWrap/>
            <w:vAlign w:val="bottom"/>
            <w:hideMark/>
          </w:tcPr>
          <w:p w14:paraId="5EFDE3C9" w14:textId="77777777" w:rsidR="00CF3957" w:rsidRPr="00E54654" w:rsidRDefault="00CF3957" w:rsidP="001E71E3">
            <w:pPr>
              <w:rPr>
                <w:sz w:val="16"/>
                <w:szCs w:val="16"/>
              </w:rPr>
            </w:pPr>
            <w:r w:rsidRPr="00E54654">
              <w:rPr>
                <w:sz w:val="16"/>
                <w:szCs w:val="16"/>
              </w:rPr>
              <w:t>Euro-EUR obveznice/XVII</w:t>
            </w:r>
          </w:p>
        </w:tc>
        <w:tc>
          <w:tcPr>
            <w:tcW w:w="1445" w:type="dxa"/>
            <w:tcBorders>
              <w:top w:val="nil"/>
              <w:left w:val="nil"/>
              <w:bottom w:val="single" w:sz="4" w:space="0" w:color="auto"/>
              <w:right w:val="single" w:sz="4" w:space="0" w:color="auto"/>
            </w:tcBorders>
            <w:shd w:val="clear" w:color="auto" w:fill="auto"/>
            <w:noWrap/>
            <w:vAlign w:val="bottom"/>
            <w:hideMark/>
          </w:tcPr>
          <w:p w14:paraId="4D1884FD"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40B2B820" w14:textId="77777777" w:rsidR="00CF3957" w:rsidRPr="00E54654" w:rsidRDefault="00CF3957" w:rsidP="001E71E3">
            <w:pPr>
              <w:jc w:val="right"/>
              <w:rPr>
                <w:sz w:val="16"/>
                <w:szCs w:val="16"/>
              </w:rPr>
            </w:pPr>
            <w:r w:rsidRPr="00E54654">
              <w:rPr>
                <w:sz w:val="16"/>
                <w:szCs w:val="16"/>
              </w:rPr>
              <w:t>1.000.000.000,00</w:t>
            </w:r>
          </w:p>
        </w:tc>
        <w:tc>
          <w:tcPr>
            <w:tcW w:w="1968" w:type="dxa"/>
            <w:tcBorders>
              <w:top w:val="nil"/>
              <w:left w:val="nil"/>
              <w:bottom w:val="single" w:sz="4" w:space="0" w:color="auto"/>
              <w:right w:val="single" w:sz="4" w:space="0" w:color="auto"/>
            </w:tcBorders>
            <w:shd w:val="clear" w:color="auto" w:fill="auto"/>
            <w:noWrap/>
            <w:vAlign w:val="bottom"/>
            <w:hideMark/>
          </w:tcPr>
          <w:p w14:paraId="234E71C7" w14:textId="77777777" w:rsidR="00CF3957" w:rsidRPr="00E54654" w:rsidRDefault="00CF3957" w:rsidP="001E71E3">
            <w:pPr>
              <w:jc w:val="right"/>
              <w:rPr>
                <w:sz w:val="16"/>
                <w:szCs w:val="16"/>
              </w:rPr>
            </w:pPr>
            <w:r w:rsidRPr="00E54654">
              <w:rPr>
                <w:sz w:val="16"/>
                <w:szCs w:val="16"/>
              </w:rPr>
              <w:t>7.534.500.000,00</w:t>
            </w:r>
          </w:p>
        </w:tc>
      </w:tr>
      <w:tr w:rsidR="00CF3957" w:rsidRPr="00E54654" w14:paraId="050AD12B"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F6635D" w14:textId="77777777" w:rsidR="00CF3957" w:rsidRPr="00E54654" w:rsidRDefault="00CF3957" w:rsidP="001E71E3">
            <w:pPr>
              <w:jc w:val="center"/>
              <w:rPr>
                <w:sz w:val="16"/>
                <w:szCs w:val="16"/>
              </w:rPr>
            </w:pPr>
            <w:r w:rsidRPr="00E54654">
              <w:rPr>
                <w:sz w:val="16"/>
                <w:szCs w:val="16"/>
              </w:rPr>
              <w:t>11.</w:t>
            </w:r>
          </w:p>
        </w:tc>
        <w:tc>
          <w:tcPr>
            <w:tcW w:w="3800" w:type="dxa"/>
            <w:tcBorders>
              <w:top w:val="nil"/>
              <w:left w:val="nil"/>
              <w:bottom w:val="single" w:sz="4" w:space="0" w:color="auto"/>
              <w:right w:val="single" w:sz="4" w:space="0" w:color="auto"/>
            </w:tcBorders>
            <w:shd w:val="clear" w:color="auto" w:fill="auto"/>
            <w:noWrap/>
            <w:vAlign w:val="bottom"/>
            <w:hideMark/>
          </w:tcPr>
          <w:p w14:paraId="534EC74B" w14:textId="77777777" w:rsidR="00CF3957" w:rsidRPr="00E54654" w:rsidRDefault="00CF3957" w:rsidP="001E71E3">
            <w:pPr>
              <w:rPr>
                <w:sz w:val="16"/>
                <w:szCs w:val="16"/>
              </w:rPr>
            </w:pPr>
            <w:r w:rsidRPr="00E54654">
              <w:rPr>
                <w:sz w:val="16"/>
                <w:szCs w:val="16"/>
              </w:rPr>
              <w:t>Euro-EUR obveznice/XVIII</w:t>
            </w:r>
          </w:p>
        </w:tc>
        <w:tc>
          <w:tcPr>
            <w:tcW w:w="1445" w:type="dxa"/>
            <w:tcBorders>
              <w:top w:val="nil"/>
              <w:left w:val="nil"/>
              <w:bottom w:val="single" w:sz="4" w:space="0" w:color="auto"/>
              <w:right w:val="single" w:sz="4" w:space="0" w:color="auto"/>
            </w:tcBorders>
            <w:shd w:val="clear" w:color="auto" w:fill="auto"/>
            <w:noWrap/>
            <w:vAlign w:val="bottom"/>
            <w:hideMark/>
          </w:tcPr>
          <w:p w14:paraId="1040604A" w14:textId="77777777" w:rsidR="00CF3957" w:rsidRPr="00E54654" w:rsidRDefault="00CF3957" w:rsidP="001E71E3">
            <w:pPr>
              <w:jc w:val="center"/>
              <w:rPr>
                <w:sz w:val="16"/>
                <w:szCs w:val="16"/>
              </w:rPr>
            </w:pPr>
            <w:r w:rsidRPr="00E54654">
              <w:rPr>
                <w:sz w:val="16"/>
                <w:szCs w:val="16"/>
              </w:rPr>
              <w:t>EUR</w:t>
            </w:r>
          </w:p>
        </w:tc>
        <w:tc>
          <w:tcPr>
            <w:tcW w:w="1700" w:type="dxa"/>
            <w:tcBorders>
              <w:top w:val="nil"/>
              <w:left w:val="nil"/>
              <w:bottom w:val="single" w:sz="4" w:space="0" w:color="auto"/>
              <w:right w:val="single" w:sz="4" w:space="0" w:color="auto"/>
            </w:tcBorders>
            <w:shd w:val="clear" w:color="auto" w:fill="auto"/>
            <w:noWrap/>
            <w:vAlign w:val="bottom"/>
            <w:hideMark/>
          </w:tcPr>
          <w:p w14:paraId="10BABAC5" w14:textId="77777777" w:rsidR="00CF3957" w:rsidRPr="00E54654" w:rsidRDefault="00CF3957" w:rsidP="001E71E3">
            <w:pPr>
              <w:jc w:val="right"/>
              <w:rPr>
                <w:sz w:val="16"/>
                <w:szCs w:val="16"/>
              </w:rPr>
            </w:pPr>
            <w:r w:rsidRPr="00E54654">
              <w:rPr>
                <w:sz w:val="16"/>
                <w:szCs w:val="16"/>
              </w:rPr>
              <w:t>1.250.000.000,00</w:t>
            </w:r>
          </w:p>
        </w:tc>
        <w:tc>
          <w:tcPr>
            <w:tcW w:w="1968" w:type="dxa"/>
            <w:tcBorders>
              <w:top w:val="nil"/>
              <w:left w:val="nil"/>
              <w:bottom w:val="single" w:sz="4" w:space="0" w:color="auto"/>
              <w:right w:val="single" w:sz="4" w:space="0" w:color="auto"/>
            </w:tcBorders>
            <w:shd w:val="clear" w:color="auto" w:fill="auto"/>
            <w:noWrap/>
            <w:vAlign w:val="bottom"/>
            <w:hideMark/>
          </w:tcPr>
          <w:p w14:paraId="669BE0C5" w14:textId="77777777" w:rsidR="00CF3957" w:rsidRPr="00E54654" w:rsidRDefault="00CF3957" w:rsidP="001E71E3">
            <w:pPr>
              <w:jc w:val="right"/>
              <w:rPr>
                <w:sz w:val="16"/>
                <w:szCs w:val="16"/>
              </w:rPr>
            </w:pPr>
            <w:r w:rsidRPr="00E54654">
              <w:rPr>
                <w:sz w:val="16"/>
                <w:szCs w:val="16"/>
              </w:rPr>
              <w:t>9.418.125.000,00</w:t>
            </w:r>
          </w:p>
        </w:tc>
      </w:tr>
      <w:tr w:rsidR="00CF3957" w:rsidRPr="00E54654" w14:paraId="28A21E03" w14:textId="77777777" w:rsidTr="001E71E3">
        <w:trPr>
          <w:trHeight w:val="27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70BCE" w14:textId="77777777" w:rsidR="00CF3957" w:rsidRPr="00E54654" w:rsidRDefault="00CF3957" w:rsidP="001E71E3">
            <w:pPr>
              <w:jc w:val="center"/>
              <w:rPr>
                <w:sz w:val="16"/>
                <w:szCs w:val="16"/>
              </w:rPr>
            </w:pPr>
            <w:r w:rsidRPr="00E54654">
              <w:rPr>
                <w:sz w:val="16"/>
                <w:szCs w:val="16"/>
              </w:rPr>
              <w:t> </w:t>
            </w:r>
          </w:p>
        </w:tc>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CA59E" w14:textId="77777777" w:rsidR="00CF3957" w:rsidRPr="00E54654" w:rsidRDefault="00CF3957" w:rsidP="001E71E3">
            <w:pPr>
              <w:rPr>
                <w:b/>
                <w:bCs/>
                <w:sz w:val="16"/>
                <w:szCs w:val="16"/>
              </w:rPr>
            </w:pPr>
            <w:r>
              <w:rPr>
                <w:b/>
                <w:bCs/>
                <w:sz w:val="16"/>
                <w:szCs w:val="16"/>
              </w:rPr>
              <w:t>UKUPNO</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A78B1" w14:textId="77777777" w:rsidR="00CF3957" w:rsidRPr="00E54654" w:rsidRDefault="00CF3957" w:rsidP="001E71E3">
            <w:pPr>
              <w:jc w:val="center"/>
              <w:rPr>
                <w:b/>
                <w:bCs/>
                <w:sz w:val="16"/>
                <w:szCs w:val="16"/>
              </w:rPr>
            </w:pPr>
            <w:r w:rsidRPr="00E54654">
              <w:rPr>
                <w:b/>
                <w:bCs/>
                <w:sz w:val="16"/>
                <w:szCs w:val="16"/>
              </w:rPr>
              <w:t>EUR</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4CD0F" w14:textId="77777777" w:rsidR="00CF3957" w:rsidRPr="00E54654" w:rsidRDefault="00CF3957" w:rsidP="001E71E3">
            <w:pPr>
              <w:jc w:val="right"/>
              <w:rPr>
                <w:b/>
                <w:bCs/>
                <w:sz w:val="16"/>
                <w:szCs w:val="16"/>
              </w:rPr>
            </w:pPr>
            <w:r w:rsidRPr="00E54654">
              <w:rPr>
                <w:b/>
                <w:bCs/>
                <w:sz w:val="16"/>
                <w:szCs w:val="16"/>
              </w:rPr>
              <w:t>13.989.663.251,38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791C" w14:textId="77777777" w:rsidR="00CF3957" w:rsidRPr="00E54654" w:rsidRDefault="00CF3957" w:rsidP="001E71E3">
            <w:pPr>
              <w:jc w:val="right"/>
              <w:rPr>
                <w:b/>
                <w:bCs/>
                <w:sz w:val="16"/>
                <w:szCs w:val="16"/>
              </w:rPr>
            </w:pPr>
            <w:r w:rsidRPr="00E54654">
              <w:rPr>
                <w:b/>
                <w:bCs/>
                <w:sz w:val="16"/>
                <w:szCs w:val="16"/>
              </w:rPr>
              <w:t>105.405.117.767,</w:t>
            </w:r>
            <w:r>
              <w:rPr>
                <w:b/>
                <w:bCs/>
                <w:sz w:val="16"/>
                <w:szCs w:val="16"/>
              </w:rPr>
              <w:t>67</w:t>
            </w:r>
          </w:p>
        </w:tc>
      </w:tr>
    </w:tbl>
    <w:p w14:paraId="6E660FDC" w14:textId="77777777" w:rsidR="00CF3957" w:rsidRDefault="00CF3957" w:rsidP="00CF3957">
      <w:pPr>
        <w:spacing w:after="200"/>
        <w:jc w:val="both"/>
      </w:pPr>
    </w:p>
    <w:p w14:paraId="5C7B62A8" w14:textId="77777777" w:rsidR="00CF3957" w:rsidRDefault="00CF3957" w:rsidP="00CF3957">
      <w:pPr>
        <w:spacing w:after="200"/>
        <w:jc w:val="both"/>
      </w:pPr>
      <w:r w:rsidRPr="003A0C02">
        <w:t xml:space="preserve">Republika Hrvatska je u travnju uspješno realizirala izdanje </w:t>
      </w:r>
      <w:proofErr w:type="spellStart"/>
      <w:r w:rsidRPr="003A0C02">
        <w:t>euroobveznica</w:t>
      </w:r>
      <w:proofErr w:type="spellEnd"/>
      <w:r w:rsidRPr="003A0C02">
        <w:t xml:space="preserve"> na međunarodnom financijskom tržištu u iznosu 1,25 milijardi eura. Ove desetogodišnje obveznice su izdane po cijeni od 99,146% nominalnog iznosa uz nepromjenjivi kamatni kupon od 2,875% godišnje, što čini prinos do dospijeća od 2,975%. Kamatni kupon će se isplaćivati jednom godišnje, a glavnica će se u cijelosti isplatiti po dospijeću. Obveznice su uplaćene 22. travnja 2022.</w:t>
      </w:r>
      <w:r>
        <w:t xml:space="preserve"> godine</w:t>
      </w:r>
      <w:r w:rsidRPr="003A0C02">
        <w:t>, a dospijeće obveznica je 22. travnja 2032. godine.</w:t>
      </w:r>
    </w:p>
    <w:p w14:paraId="0484AB11" w14:textId="77777777" w:rsidR="00CF3957" w:rsidRPr="00AA6B88" w:rsidRDefault="00CF3957" w:rsidP="00CF3957">
      <w:pPr>
        <w:spacing w:after="200"/>
        <w:jc w:val="both"/>
      </w:pPr>
      <w:r w:rsidRPr="003A0C02">
        <w:t xml:space="preserve">Sredstva prikupljena ovim izdanjem iskorištena su za refinanciranje </w:t>
      </w:r>
      <w:proofErr w:type="spellStart"/>
      <w:r w:rsidRPr="003A0C02">
        <w:t>euroobveznica</w:t>
      </w:r>
      <w:proofErr w:type="spellEnd"/>
      <w:r w:rsidRPr="003A0C02">
        <w:t xml:space="preserve"> Republike Hrvatske nominalnog iznosa 1,25 milijardi eura, koje su nosile kamatu 3,875% i dospijeće im je bilo 30. svibnja 2022.</w:t>
      </w:r>
      <w:r>
        <w:t xml:space="preserve"> godine.</w:t>
      </w:r>
    </w:p>
    <w:p w14:paraId="70A34B18" w14:textId="77777777" w:rsidR="00CF3957" w:rsidRDefault="00CF3957" w:rsidP="00CF3957">
      <w:pPr>
        <w:jc w:val="center"/>
        <w:rPr>
          <w:bCs/>
          <w:sz w:val="28"/>
          <w:szCs w:val="28"/>
        </w:rPr>
      </w:pPr>
    </w:p>
    <w:p w14:paraId="4384C018" w14:textId="77777777" w:rsidR="00CF3957" w:rsidRPr="00C85DCC" w:rsidRDefault="00CF3957" w:rsidP="00CF3957">
      <w:pPr>
        <w:jc w:val="center"/>
      </w:pPr>
      <w:r w:rsidRPr="00C85DCC">
        <w:rPr>
          <w:bCs/>
          <w:sz w:val="28"/>
          <w:szCs w:val="28"/>
        </w:rPr>
        <w:t>Bilješka 2</w:t>
      </w:r>
      <w:r>
        <w:rPr>
          <w:bCs/>
          <w:sz w:val="28"/>
          <w:szCs w:val="28"/>
        </w:rPr>
        <w:t>4</w:t>
      </w:r>
      <w:r w:rsidRPr="00C85DCC">
        <w:rPr>
          <w:bCs/>
          <w:sz w:val="28"/>
          <w:szCs w:val="28"/>
        </w:rPr>
        <w:t>.</w:t>
      </w:r>
    </w:p>
    <w:p w14:paraId="56CA339B" w14:textId="77777777" w:rsidR="00CF3957" w:rsidRPr="00D42A73" w:rsidRDefault="00CF3957" w:rsidP="00CF3957">
      <w:pPr>
        <w:jc w:val="center"/>
      </w:pPr>
      <w:r>
        <w:rPr>
          <w:sz w:val="28"/>
          <w:szCs w:val="28"/>
        </w:rPr>
        <w:t>Šifra 2622</w:t>
      </w:r>
      <w:r w:rsidRPr="00D42A73">
        <w:rPr>
          <w:sz w:val="28"/>
          <w:szCs w:val="28"/>
        </w:rPr>
        <w:t xml:space="preserve"> Obveze za kredite od kreditnih institucija u javnom sektoru</w:t>
      </w:r>
    </w:p>
    <w:p w14:paraId="262AA7D0" w14:textId="77777777" w:rsidR="00CF3957" w:rsidRDefault="00CF3957" w:rsidP="00CF3957"/>
    <w:p w14:paraId="4D749C9F" w14:textId="77777777" w:rsidR="00CF3957" w:rsidRPr="00D42A73" w:rsidRDefault="00CF3957" w:rsidP="00CF3957">
      <w:pPr>
        <w:jc w:val="both"/>
      </w:pPr>
      <w:r w:rsidRPr="00D42A73">
        <w:t>Analitika obveza za kredite od kreditnih institucij</w:t>
      </w:r>
      <w:r>
        <w:t>a u javnom sektoru u iznosu od 2.029.443.603,06</w:t>
      </w:r>
      <w:r w:rsidRPr="00D42A73">
        <w:t xml:space="preserve"> </w:t>
      </w:r>
      <w:r w:rsidRPr="00D42A73">
        <w:rPr>
          <w:bCs/>
        </w:rPr>
        <w:t>kuna</w:t>
      </w:r>
      <w:r>
        <w:t xml:space="preserve"> daje se u Tablici 11</w:t>
      </w:r>
      <w:r w:rsidRPr="00D42A73">
        <w:t xml:space="preserve">. </w:t>
      </w:r>
    </w:p>
    <w:p w14:paraId="0DA9533C" w14:textId="77777777" w:rsidR="00CF3957" w:rsidRPr="00D42A73" w:rsidRDefault="00CF3957" w:rsidP="00CF3957">
      <w:pPr>
        <w:keepNext/>
        <w:jc w:val="both"/>
        <w:rPr>
          <w:b/>
          <w:sz w:val="20"/>
          <w:szCs w:val="20"/>
        </w:rPr>
      </w:pPr>
    </w:p>
    <w:p w14:paraId="33EAE59C" w14:textId="77777777" w:rsidR="00CF3957" w:rsidRPr="00D42A73" w:rsidRDefault="00CF3957" w:rsidP="00CF3957">
      <w:pPr>
        <w:keepNext/>
        <w:jc w:val="both"/>
        <w:rPr>
          <w:b/>
          <w:sz w:val="20"/>
          <w:szCs w:val="20"/>
        </w:rPr>
      </w:pPr>
      <w:r>
        <w:rPr>
          <w:b/>
          <w:sz w:val="20"/>
          <w:szCs w:val="20"/>
        </w:rPr>
        <w:t>Tablica 11</w:t>
      </w:r>
      <w:r w:rsidRPr="00D42A73">
        <w:rPr>
          <w:b/>
          <w:sz w:val="20"/>
          <w:szCs w:val="20"/>
        </w:rPr>
        <w:t xml:space="preserve">. </w:t>
      </w:r>
    </w:p>
    <w:tbl>
      <w:tblPr>
        <w:tblW w:w="9351" w:type="dxa"/>
        <w:tblLook w:val="04A0" w:firstRow="1" w:lastRow="0" w:firstColumn="1" w:lastColumn="0" w:noHBand="0" w:noVBand="1"/>
      </w:tblPr>
      <w:tblGrid>
        <w:gridCol w:w="910"/>
        <w:gridCol w:w="4047"/>
        <w:gridCol w:w="850"/>
        <w:gridCol w:w="709"/>
        <w:gridCol w:w="1417"/>
        <w:gridCol w:w="1418"/>
      </w:tblGrid>
      <w:tr w:rsidR="00CF3957" w:rsidRPr="00157FA2" w14:paraId="5625ABED" w14:textId="77777777" w:rsidTr="001E71E3">
        <w:trPr>
          <w:trHeight w:val="799"/>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77015" w14:textId="77777777" w:rsidR="00CF3957" w:rsidRDefault="00CF3957" w:rsidP="001E71E3">
            <w:pPr>
              <w:keepNext/>
              <w:jc w:val="center"/>
              <w:rPr>
                <w:b/>
                <w:bCs/>
                <w:sz w:val="16"/>
                <w:szCs w:val="16"/>
              </w:rPr>
            </w:pPr>
            <w:r>
              <w:rPr>
                <w:b/>
                <w:bCs/>
                <w:sz w:val="16"/>
                <w:szCs w:val="16"/>
              </w:rPr>
              <w:t>Redni</w:t>
            </w:r>
          </w:p>
          <w:p w14:paraId="6213AA5F" w14:textId="77777777" w:rsidR="00CF3957" w:rsidRPr="00157FA2" w:rsidRDefault="00CF3957" w:rsidP="001E71E3">
            <w:pPr>
              <w:keepNext/>
              <w:jc w:val="center"/>
              <w:rPr>
                <w:b/>
                <w:bCs/>
                <w:sz w:val="16"/>
                <w:szCs w:val="16"/>
              </w:rPr>
            </w:pPr>
            <w:r w:rsidRPr="00157FA2">
              <w:rPr>
                <w:b/>
                <w:bCs/>
                <w:sz w:val="16"/>
                <w:szCs w:val="16"/>
              </w:rPr>
              <w:t>broj</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277BE910" w14:textId="77777777" w:rsidR="00CF3957" w:rsidRPr="00157FA2" w:rsidRDefault="00CF3957" w:rsidP="001E71E3">
            <w:pPr>
              <w:keepNext/>
              <w:jc w:val="center"/>
              <w:rPr>
                <w:b/>
                <w:bCs/>
                <w:sz w:val="16"/>
                <w:szCs w:val="16"/>
              </w:rPr>
            </w:pPr>
            <w:r w:rsidRPr="00157FA2">
              <w:rPr>
                <w:b/>
                <w:bCs/>
                <w:sz w:val="16"/>
                <w:szCs w:val="16"/>
              </w:rPr>
              <w:t>Namjena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A8C987" w14:textId="77777777" w:rsidR="00CF3957" w:rsidRPr="00157FA2" w:rsidRDefault="00CF3957" w:rsidP="001E71E3">
            <w:pPr>
              <w:keepNext/>
              <w:jc w:val="center"/>
              <w:rPr>
                <w:b/>
                <w:bCs/>
                <w:sz w:val="16"/>
                <w:szCs w:val="16"/>
              </w:rPr>
            </w:pPr>
            <w:r w:rsidRPr="00157FA2">
              <w:rPr>
                <w:b/>
                <w:bCs/>
                <w:sz w:val="16"/>
                <w:szCs w:val="16"/>
              </w:rPr>
              <w:t>Banka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481B29" w14:textId="77777777" w:rsidR="00CF3957" w:rsidRPr="00157FA2" w:rsidRDefault="00CF3957" w:rsidP="001E71E3">
            <w:pPr>
              <w:keepNext/>
              <w:jc w:val="center"/>
              <w:rPr>
                <w:b/>
                <w:bCs/>
                <w:sz w:val="16"/>
                <w:szCs w:val="16"/>
              </w:rPr>
            </w:pPr>
            <w:r w:rsidRPr="00157FA2">
              <w:rPr>
                <w:b/>
                <w:bCs/>
                <w:sz w:val="16"/>
                <w:szCs w:val="16"/>
              </w:rPr>
              <w:t>Valuta</w:t>
            </w:r>
          </w:p>
        </w:tc>
        <w:tc>
          <w:tcPr>
            <w:tcW w:w="1417" w:type="dxa"/>
            <w:tcBorders>
              <w:top w:val="single" w:sz="4" w:space="0" w:color="auto"/>
              <w:left w:val="nil"/>
              <w:bottom w:val="nil"/>
              <w:right w:val="single" w:sz="4" w:space="0" w:color="auto"/>
            </w:tcBorders>
            <w:shd w:val="clear" w:color="auto" w:fill="auto"/>
            <w:vAlign w:val="center"/>
            <w:hideMark/>
          </w:tcPr>
          <w:p w14:paraId="4646A293" w14:textId="77777777" w:rsidR="00CF3957" w:rsidRPr="00157FA2" w:rsidRDefault="00CF3957" w:rsidP="001E71E3">
            <w:pPr>
              <w:keepNext/>
              <w:jc w:val="center"/>
              <w:rPr>
                <w:b/>
                <w:bCs/>
                <w:sz w:val="16"/>
                <w:szCs w:val="16"/>
              </w:rPr>
            </w:pPr>
            <w:r w:rsidRPr="00157FA2">
              <w:rPr>
                <w:b/>
                <w:bCs/>
                <w:sz w:val="16"/>
                <w:szCs w:val="16"/>
              </w:rPr>
              <w:t>Stanje obveza na dan 31.12.2022. (</w:t>
            </w:r>
            <w:proofErr w:type="spellStart"/>
            <w:r w:rsidRPr="00157FA2">
              <w:rPr>
                <w:b/>
                <w:bCs/>
                <w:sz w:val="16"/>
                <w:szCs w:val="16"/>
              </w:rPr>
              <w:t>org.val</w:t>
            </w:r>
            <w:proofErr w:type="spellEnd"/>
            <w:r w:rsidRPr="00157FA2">
              <w:rPr>
                <w:b/>
                <w:bCs/>
                <w:sz w:val="16"/>
                <w:szCs w:val="16"/>
              </w:rPr>
              <w:t>.)</w:t>
            </w:r>
          </w:p>
        </w:tc>
        <w:tc>
          <w:tcPr>
            <w:tcW w:w="1418" w:type="dxa"/>
            <w:tcBorders>
              <w:top w:val="single" w:sz="4" w:space="0" w:color="auto"/>
              <w:left w:val="nil"/>
              <w:bottom w:val="nil"/>
              <w:right w:val="single" w:sz="4" w:space="0" w:color="auto"/>
            </w:tcBorders>
            <w:shd w:val="clear" w:color="auto" w:fill="auto"/>
            <w:vAlign w:val="center"/>
            <w:hideMark/>
          </w:tcPr>
          <w:p w14:paraId="1ED7C177" w14:textId="77777777" w:rsidR="00CF3957" w:rsidRPr="00157FA2" w:rsidRDefault="00CF3957" w:rsidP="001E71E3">
            <w:pPr>
              <w:keepNext/>
              <w:jc w:val="center"/>
              <w:rPr>
                <w:b/>
                <w:bCs/>
                <w:sz w:val="16"/>
                <w:szCs w:val="16"/>
              </w:rPr>
            </w:pPr>
            <w:r w:rsidRPr="00157FA2">
              <w:rPr>
                <w:b/>
                <w:bCs/>
                <w:sz w:val="16"/>
                <w:szCs w:val="16"/>
              </w:rPr>
              <w:t>Stanje obveza na 31.12.2022. u kunama</w:t>
            </w:r>
          </w:p>
        </w:tc>
      </w:tr>
      <w:tr w:rsidR="00CF3957" w:rsidRPr="00157FA2" w14:paraId="36BEB0DF"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E4177B0" w14:textId="77777777" w:rsidR="00CF3957" w:rsidRPr="00157FA2" w:rsidRDefault="00CF3957" w:rsidP="001E71E3">
            <w:pPr>
              <w:keepNext/>
              <w:jc w:val="center"/>
              <w:rPr>
                <w:sz w:val="16"/>
                <w:szCs w:val="16"/>
              </w:rPr>
            </w:pPr>
            <w:r w:rsidRPr="00157FA2">
              <w:rPr>
                <w:sz w:val="16"/>
                <w:szCs w:val="16"/>
              </w:rPr>
              <w:t>1.</w:t>
            </w:r>
          </w:p>
        </w:tc>
        <w:tc>
          <w:tcPr>
            <w:tcW w:w="4047" w:type="dxa"/>
            <w:tcBorders>
              <w:top w:val="nil"/>
              <w:left w:val="nil"/>
              <w:bottom w:val="single" w:sz="4" w:space="0" w:color="auto"/>
              <w:right w:val="single" w:sz="4" w:space="0" w:color="auto"/>
            </w:tcBorders>
            <w:shd w:val="clear" w:color="auto" w:fill="auto"/>
            <w:noWrap/>
            <w:vAlign w:val="bottom"/>
            <w:hideMark/>
          </w:tcPr>
          <w:p w14:paraId="30999DEA" w14:textId="77777777" w:rsidR="00CF3957" w:rsidRPr="00157FA2" w:rsidRDefault="00CF3957" w:rsidP="001E71E3">
            <w:pPr>
              <w:keepNext/>
              <w:rPr>
                <w:sz w:val="16"/>
                <w:szCs w:val="16"/>
              </w:rPr>
            </w:pPr>
            <w:r w:rsidRPr="00157FA2">
              <w:rPr>
                <w:sz w:val="16"/>
                <w:szCs w:val="16"/>
              </w:rPr>
              <w:t>Hrvatske vode KO-09/12 - projekt navodnjavanja</w:t>
            </w:r>
          </w:p>
        </w:tc>
        <w:tc>
          <w:tcPr>
            <w:tcW w:w="850" w:type="dxa"/>
            <w:tcBorders>
              <w:top w:val="nil"/>
              <w:left w:val="nil"/>
              <w:bottom w:val="single" w:sz="4" w:space="0" w:color="auto"/>
              <w:right w:val="single" w:sz="4" w:space="0" w:color="auto"/>
            </w:tcBorders>
            <w:shd w:val="clear" w:color="auto" w:fill="auto"/>
            <w:noWrap/>
            <w:vAlign w:val="bottom"/>
            <w:hideMark/>
          </w:tcPr>
          <w:p w14:paraId="104BE0F8" w14:textId="77777777" w:rsidR="00CF3957" w:rsidRPr="00157FA2" w:rsidRDefault="00CF3957" w:rsidP="001E71E3">
            <w:pPr>
              <w:keepNext/>
              <w:jc w:val="center"/>
              <w:rPr>
                <w:sz w:val="16"/>
                <w:szCs w:val="16"/>
              </w:rPr>
            </w:pPr>
            <w:r w:rsidRPr="00157FA2">
              <w:rPr>
                <w:sz w:val="16"/>
                <w:szCs w:val="16"/>
              </w:rPr>
              <w:t>HBOR</w:t>
            </w:r>
          </w:p>
        </w:tc>
        <w:tc>
          <w:tcPr>
            <w:tcW w:w="709" w:type="dxa"/>
            <w:tcBorders>
              <w:top w:val="nil"/>
              <w:left w:val="nil"/>
              <w:bottom w:val="single" w:sz="4" w:space="0" w:color="auto"/>
              <w:right w:val="single" w:sz="4" w:space="0" w:color="auto"/>
            </w:tcBorders>
            <w:shd w:val="clear" w:color="auto" w:fill="auto"/>
            <w:noWrap/>
            <w:vAlign w:val="bottom"/>
            <w:hideMark/>
          </w:tcPr>
          <w:p w14:paraId="4A023E18" w14:textId="77777777" w:rsidR="00CF3957" w:rsidRPr="00157FA2" w:rsidRDefault="00CF3957" w:rsidP="001E71E3">
            <w:pPr>
              <w:keepNext/>
              <w:jc w:val="center"/>
              <w:rPr>
                <w:sz w:val="16"/>
                <w:szCs w:val="16"/>
              </w:rPr>
            </w:pPr>
            <w:r w:rsidRPr="00157FA2">
              <w:rPr>
                <w:sz w:val="16"/>
                <w:szCs w:val="16"/>
              </w:rPr>
              <w:t>HRK</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14FACE" w14:textId="77777777" w:rsidR="00CF3957" w:rsidRPr="00157FA2" w:rsidRDefault="00CF3957" w:rsidP="001E71E3">
            <w:pPr>
              <w:keepNext/>
              <w:jc w:val="right"/>
              <w:rPr>
                <w:sz w:val="16"/>
                <w:szCs w:val="16"/>
              </w:rPr>
            </w:pPr>
            <w:r w:rsidRPr="00157FA2">
              <w:rPr>
                <w:sz w:val="16"/>
                <w:szCs w:val="16"/>
              </w:rPr>
              <w:t>38.500.000,00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E693BD" w14:textId="77777777" w:rsidR="00CF3957" w:rsidRPr="00157FA2" w:rsidRDefault="00CF3957" w:rsidP="001E71E3">
            <w:pPr>
              <w:keepNext/>
              <w:jc w:val="right"/>
              <w:rPr>
                <w:sz w:val="16"/>
                <w:szCs w:val="16"/>
              </w:rPr>
            </w:pPr>
            <w:r w:rsidRPr="00157FA2">
              <w:rPr>
                <w:sz w:val="16"/>
                <w:szCs w:val="16"/>
              </w:rPr>
              <w:t>38.500.000,00</w:t>
            </w:r>
          </w:p>
        </w:tc>
      </w:tr>
      <w:tr w:rsidR="00CF3957" w:rsidRPr="00157FA2" w14:paraId="571790C3"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C94347A" w14:textId="77777777" w:rsidR="00CF3957" w:rsidRPr="00157FA2" w:rsidRDefault="00CF3957" w:rsidP="001E71E3">
            <w:pPr>
              <w:keepNext/>
              <w:jc w:val="center"/>
              <w:rPr>
                <w:sz w:val="16"/>
                <w:szCs w:val="16"/>
              </w:rPr>
            </w:pPr>
            <w:r w:rsidRPr="00157FA2">
              <w:rPr>
                <w:sz w:val="16"/>
                <w:szCs w:val="16"/>
              </w:rPr>
              <w:t>2.</w:t>
            </w:r>
          </w:p>
        </w:tc>
        <w:tc>
          <w:tcPr>
            <w:tcW w:w="4047" w:type="dxa"/>
            <w:tcBorders>
              <w:top w:val="nil"/>
              <w:left w:val="nil"/>
              <w:bottom w:val="nil"/>
              <w:right w:val="single" w:sz="4" w:space="0" w:color="auto"/>
            </w:tcBorders>
            <w:shd w:val="clear" w:color="auto" w:fill="auto"/>
            <w:noWrap/>
            <w:vAlign w:val="bottom"/>
            <w:hideMark/>
          </w:tcPr>
          <w:p w14:paraId="6CAE0183" w14:textId="77777777" w:rsidR="00CF3957" w:rsidRPr="00157FA2" w:rsidRDefault="00CF3957" w:rsidP="001E71E3">
            <w:pPr>
              <w:keepNext/>
              <w:rPr>
                <w:sz w:val="16"/>
                <w:szCs w:val="16"/>
              </w:rPr>
            </w:pPr>
            <w:r w:rsidRPr="00157FA2">
              <w:rPr>
                <w:sz w:val="16"/>
                <w:szCs w:val="16"/>
              </w:rPr>
              <w:t>HŽ Putnički prijevoz F-001-14 preuzeto 2015.</w:t>
            </w:r>
          </w:p>
        </w:tc>
        <w:tc>
          <w:tcPr>
            <w:tcW w:w="850" w:type="dxa"/>
            <w:tcBorders>
              <w:top w:val="nil"/>
              <w:left w:val="nil"/>
              <w:bottom w:val="nil"/>
              <w:right w:val="single" w:sz="4" w:space="0" w:color="auto"/>
            </w:tcBorders>
            <w:shd w:val="clear" w:color="auto" w:fill="auto"/>
            <w:noWrap/>
            <w:vAlign w:val="bottom"/>
            <w:hideMark/>
          </w:tcPr>
          <w:p w14:paraId="6A7CEC95" w14:textId="77777777" w:rsidR="00CF3957" w:rsidRPr="00157FA2" w:rsidRDefault="00CF3957" w:rsidP="001E71E3">
            <w:pPr>
              <w:keepNext/>
              <w:jc w:val="center"/>
              <w:rPr>
                <w:sz w:val="16"/>
                <w:szCs w:val="16"/>
              </w:rPr>
            </w:pPr>
            <w:r w:rsidRPr="00157FA2">
              <w:rPr>
                <w:sz w:val="16"/>
                <w:szCs w:val="16"/>
              </w:rPr>
              <w:t>HBOR</w:t>
            </w:r>
          </w:p>
        </w:tc>
        <w:tc>
          <w:tcPr>
            <w:tcW w:w="709" w:type="dxa"/>
            <w:tcBorders>
              <w:top w:val="nil"/>
              <w:left w:val="nil"/>
              <w:bottom w:val="nil"/>
              <w:right w:val="single" w:sz="4" w:space="0" w:color="auto"/>
            </w:tcBorders>
            <w:shd w:val="clear" w:color="auto" w:fill="auto"/>
            <w:noWrap/>
            <w:vAlign w:val="bottom"/>
            <w:hideMark/>
          </w:tcPr>
          <w:p w14:paraId="558D02D8" w14:textId="77777777" w:rsidR="00CF3957" w:rsidRPr="00157FA2" w:rsidRDefault="00CF3957" w:rsidP="001E71E3">
            <w:pPr>
              <w:keepNext/>
              <w:jc w:val="center"/>
              <w:rPr>
                <w:sz w:val="16"/>
                <w:szCs w:val="16"/>
              </w:rPr>
            </w:pPr>
            <w:r w:rsidRPr="00157FA2">
              <w:rPr>
                <w:sz w:val="16"/>
                <w:szCs w:val="16"/>
              </w:rPr>
              <w:t>EUR</w:t>
            </w:r>
          </w:p>
        </w:tc>
        <w:tc>
          <w:tcPr>
            <w:tcW w:w="1417" w:type="dxa"/>
            <w:tcBorders>
              <w:top w:val="nil"/>
              <w:left w:val="nil"/>
              <w:bottom w:val="nil"/>
              <w:right w:val="single" w:sz="4" w:space="0" w:color="auto"/>
            </w:tcBorders>
            <w:shd w:val="clear" w:color="auto" w:fill="auto"/>
            <w:noWrap/>
            <w:vAlign w:val="bottom"/>
            <w:hideMark/>
          </w:tcPr>
          <w:p w14:paraId="1DB2F5D5" w14:textId="77777777" w:rsidR="00CF3957" w:rsidRPr="00157FA2" w:rsidRDefault="00CF3957" w:rsidP="001E71E3">
            <w:pPr>
              <w:keepNext/>
              <w:jc w:val="right"/>
              <w:rPr>
                <w:sz w:val="16"/>
                <w:szCs w:val="16"/>
              </w:rPr>
            </w:pPr>
            <w:r w:rsidRPr="00157FA2">
              <w:rPr>
                <w:sz w:val="16"/>
                <w:szCs w:val="16"/>
              </w:rPr>
              <w:t>50.747.928,79</w:t>
            </w:r>
          </w:p>
        </w:tc>
        <w:tc>
          <w:tcPr>
            <w:tcW w:w="1418" w:type="dxa"/>
            <w:tcBorders>
              <w:top w:val="nil"/>
              <w:left w:val="nil"/>
              <w:bottom w:val="single" w:sz="4" w:space="0" w:color="auto"/>
              <w:right w:val="single" w:sz="4" w:space="0" w:color="auto"/>
            </w:tcBorders>
            <w:shd w:val="clear" w:color="auto" w:fill="auto"/>
            <w:noWrap/>
            <w:vAlign w:val="bottom"/>
            <w:hideMark/>
          </w:tcPr>
          <w:p w14:paraId="758DAC4A" w14:textId="77777777" w:rsidR="00CF3957" w:rsidRPr="00157FA2" w:rsidRDefault="00CF3957" w:rsidP="001E71E3">
            <w:pPr>
              <w:keepNext/>
              <w:jc w:val="right"/>
              <w:rPr>
                <w:sz w:val="16"/>
                <w:szCs w:val="16"/>
              </w:rPr>
            </w:pPr>
            <w:r w:rsidRPr="00157FA2">
              <w:rPr>
                <w:sz w:val="16"/>
                <w:szCs w:val="16"/>
              </w:rPr>
              <w:t>382.360.269,47</w:t>
            </w:r>
          </w:p>
        </w:tc>
      </w:tr>
      <w:tr w:rsidR="00CF3957" w:rsidRPr="00157FA2" w14:paraId="42A967CC"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3E1968AC" w14:textId="77777777" w:rsidR="00CF3957" w:rsidRPr="00157FA2" w:rsidRDefault="00CF3957" w:rsidP="001E71E3">
            <w:pPr>
              <w:keepNext/>
              <w:jc w:val="center"/>
              <w:rPr>
                <w:sz w:val="16"/>
                <w:szCs w:val="16"/>
              </w:rPr>
            </w:pPr>
            <w:r w:rsidRPr="00157FA2">
              <w:rPr>
                <w:sz w:val="16"/>
                <w:szCs w:val="16"/>
              </w:rPr>
              <w:t>3.</w:t>
            </w:r>
          </w:p>
        </w:tc>
        <w:tc>
          <w:tcPr>
            <w:tcW w:w="4047" w:type="dxa"/>
            <w:tcBorders>
              <w:top w:val="single" w:sz="4" w:space="0" w:color="auto"/>
              <w:left w:val="nil"/>
              <w:bottom w:val="nil"/>
              <w:right w:val="single" w:sz="4" w:space="0" w:color="auto"/>
            </w:tcBorders>
            <w:shd w:val="clear" w:color="auto" w:fill="auto"/>
            <w:noWrap/>
            <w:vAlign w:val="bottom"/>
            <w:hideMark/>
          </w:tcPr>
          <w:p w14:paraId="6FD17489" w14:textId="77777777" w:rsidR="00CF3957" w:rsidRPr="00157FA2" w:rsidRDefault="00CF3957" w:rsidP="001E71E3">
            <w:pPr>
              <w:keepNext/>
              <w:rPr>
                <w:sz w:val="16"/>
                <w:szCs w:val="16"/>
              </w:rPr>
            </w:pPr>
            <w:r w:rsidRPr="00157FA2">
              <w:rPr>
                <w:sz w:val="16"/>
                <w:szCs w:val="16"/>
              </w:rPr>
              <w:t xml:space="preserve">HPB HRK 950 </w:t>
            </w:r>
            <w:proofErr w:type="spellStart"/>
            <w:r w:rsidRPr="00157FA2">
              <w:rPr>
                <w:sz w:val="16"/>
                <w:szCs w:val="16"/>
              </w:rPr>
              <w:t>mil</w:t>
            </w:r>
            <w:proofErr w:type="spellEnd"/>
            <w:r w:rsidRPr="00157FA2">
              <w:rPr>
                <w:sz w:val="16"/>
                <w:szCs w:val="16"/>
              </w:rPr>
              <w:t>. 2017</w:t>
            </w:r>
          </w:p>
        </w:tc>
        <w:tc>
          <w:tcPr>
            <w:tcW w:w="850" w:type="dxa"/>
            <w:tcBorders>
              <w:top w:val="single" w:sz="4" w:space="0" w:color="auto"/>
              <w:left w:val="nil"/>
              <w:bottom w:val="nil"/>
              <w:right w:val="single" w:sz="4" w:space="0" w:color="auto"/>
            </w:tcBorders>
            <w:shd w:val="clear" w:color="auto" w:fill="auto"/>
            <w:noWrap/>
            <w:vAlign w:val="bottom"/>
            <w:hideMark/>
          </w:tcPr>
          <w:p w14:paraId="517094BE" w14:textId="77777777" w:rsidR="00CF3957" w:rsidRPr="00157FA2" w:rsidRDefault="00CF3957" w:rsidP="001E71E3">
            <w:pPr>
              <w:keepNext/>
              <w:jc w:val="center"/>
              <w:rPr>
                <w:sz w:val="16"/>
                <w:szCs w:val="16"/>
              </w:rPr>
            </w:pPr>
            <w:r w:rsidRPr="00157FA2">
              <w:rPr>
                <w:sz w:val="16"/>
                <w:szCs w:val="16"/>
              </w:rPr>
              <w:t>HPB</w:t>
            </w:r>
          </w:p>
        </w:tc>
        <w:tc>
          <w:tcPr>
            <w:tcW w:w="709" w:type="dxa"/>
            <w:tcBorders>
              <w:top w:val="single" w:sz="4" w:space="0" w:color="auto"/>
              <w:left w:val="nil"/>
              <w:bottom w:val="nil"/>
              <w:right w:val="single" w:sz="4" w:space="0" w:color="auto"/>
            </w:tcBorders>
            <w:shd w:val="clear" w:color="auto" w:fill="auto"/>
            <w:noWrap/>
            <w:vAlign w:val="bottom"/>
            <w:hideMark/>
          </w:tcPr>
          <w:p w14:paraId="6707294B" w14:textId="77777777" w:rsidR="00CF3957" w:rsidRPr="00157FA2" w:rsidRDefault="00CF3957" w:rsidP="001E71E3">
            <w:pPr>
              <w:keepNext/>
              <w:jc w:val="center"/>
              <w:rPr>
                <w:sz w:val="16"/>
                <w:szCs w:val="16"/>
              </w:rPr>
            </w:pPr>
            <w:r w:rsidRPr="00157FA2">
              <w:rPr>
                <w:sz w:val="16"/>
                <w:szCs w:val="16"/>
              </w:rPr>
              <w:t>HRK</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C80E25" w14:textId="77777777" w:rsidR="00CF3957" w:rsidRPr="00157FA2" w:rsidRDefault="00CF3957" w:rsidP="001E71E3">
            <w:pPr>
              <w:keepNext/>
              <w:jc w:val="right"/>
              <w:rPr>
                <w:sz w:val="16"/>
                <w:szCs w:val="16"/>
              </w:rPr>
            </w:pPr>
            <w:r w:rsidRPr="00157FA2">
              <w:rPr>
                <w:sz w:val="16"/>
                <w:szCs w:val="16"/>
              </w:rPr>
              <w:t>500.000.000,00</w:t>
            </w:r>
          </w:p>
        </w:tc>
        <w:tc>
          <w:tcPr>
            <w:tcW w:w="1418" w:type="dxa"/>
            <w:tcBorders>
              <w:top w:val="nil"/>
              <w:left w:val="nil"/>
              <w:bottom w:val="single" w:sz="4" w:space="0" w:color="auto"/>
              <w:right w:val="single" w:sz="4" w:space="0" w:color="auto"/>
            </w:tcBorders>
            <w:shd w:val="clear" w:color="auto" w:fill="auto"/>
            <w:noWrap/>
            <w:vAlign w:val="bottom"/>
            <w:hideMark/>
          </w:tcPr>
          <w:p w14:paraId="4DD36A7F" w14:textId="77777777" w:rsidR="00CF3957" w:rsidRPr="00157FA2" w:rsidRDefault="00CF3957" w:rsidP="001E71E3">
            <w:pPr>
              <w:keepNext/>
              <w:jc w:val="right"/>
              <w:rPr>
                <w:sz w:val="16"/>
                <w:szCs w:val="16"/>
              </w:rPr>
            </w:pPr>
            <w:r w:rsidRPr="00157FA2">
              <w:rPr>
                <w:sz w:val="16"/>
                <w:szCs w:val="16"/>
              </w:rPr>
              <w:t>500.000.000,00</w:t>
            </w:r>
          </w:p>
        </w:tc>
      </w:tr>
      <w:tr w:rsidR="00CF3957" w:rsidRPr="00157FA2" w14:paraId="12D1D9DE"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7FFD8E5" w14:textId="77777777" w:rsidR="00CF3957" w:rsidRPr="00157FA2" w:rsidRDefault="00CF3957" w:rsidP="001E71E3">
            <w:pPr>
              <w:keepNext/>
              <w:jc w:val="center"/>
              <w:rPr>
                <w:sz w:val="16"/>
                <w:szCs w:val="16"/>
              </w:rPr>
            </w:pPr>
            <w:r w:rsidRPr="00157FA2">
              <w:rPr>
                <w:sz w:val="16"/>
                <w:szCs w:val="16"/>
              </w:rPr>
              <w:t>4.</w:t>
            </w:r>
          </w:p>
        </w:tc>
        <w:tc>
          <w:tcPr>
            <w:tcW w:w="4047" w:type="dxa"/>
            <w:tcBorders>
              <w:top w:val="single" w:sz="4" w:space="0" w:color="auto"/>
              <w:left w:val="nil"/>
              <w:bottom w:val="single" w:sz="4" w:space="0" w:color="auto"/>
              <w:right w:val="single" w:sz="4" w:space="0" w:color="auto"/>
            </w:tcBorders>
            <w:shd w:val="clear" w:color="auto" w:fill="auto"/>
            <w:noWrap/>
            <w:vAlign w:val="bottom"/>
            <w:hideMark/>
          </w:tcPr>
          <w:p w14:paraId="2D30B697" w14:textId="77777777" w:rsidR="00CF3957" w:rsidRPr="00157FA2" w:rsidRDefault="00CF3957" w:rsidP="001E71E3">
            <w:pPr>
              <w:keepNext/>
              <w:rPr>
                <w:sz w:val="16"/>
                <w:szCs w:val="16"/>
              </w:rPr>
            </w:pPr>
            <w:r w:rsidRPr="00157FA2">
              <w:rPr>
                <w:sz w:val="16"/>
                <w:szCs w:val="16"/>
              </w:rPr>
              <w:t xml:space="preserve">HPB HRK 400 </w:t>
            </w:r>
            <w:proofErr w:type="spellStart"/>
            <w:r w:rsidRPr="00157FA2">
              <w:rPr>
                <w:sz w:val="16"/>
                <w:szCs w:val="16"/>
              </w:rPr>
              <w:t>mil</w:t>
            </w:r>
            <w:proofErr w:type="spellEnd"/>
            <w:r w:rsidRPr="00157FA2">
              <w:rPr>
                <w:sz w:val="16"/>
                <w:szCs w:val="16"/>
              </w:rPr>
              <w:t>. D-2024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0D979D3" w14:textId="77777777" w:rsidR="00CF3957" w:rsidRPr="00157FA2" w:rsidRDefault="00CF3957" w:rsidP="001E71E3">
            <w:pPr>
              <w:keepNext/>
              <w:jc w:val="center"/>
              <w:rPr>
                <w:sz w:val="16"/>
                <w:szCs w:val="16"/>
              </w:rPr>
            </w:pPr>
            <w:r w:rsidRPr="00157FA2">
              <w:rPr>
                <w:sz w:val="16"/>
                <w:szCs w:val="16"/>
              </w:rPr>
              <w:t>HPB</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2236B9E" w14:textId="77777777" w:rsidR="00CF3957" w:rsidRPr="00157FA2" w:rsidRDefault="00CF3957" w:rsidP="001E71E3">
            <w:pPr>
              <w:keepNext/>
              <w:jc w:val="center"/>
              <w:rPr>
                <w:sz w:val="16"/>
                <w:szCs w:val="16"/>
              </w:rPr>
            </w:pPr>
            <w:r w:rsidRPr="00157FA2">
              <w:rPr>
                <w:sz w:val="16"/>
                <w:szCs w:val="16"/>
              </w:rPr>
              <w:t>HRK</w:t>
            </w:r>
          </w:p>
        </w:tc>
        <w:tc>
          <w:tcPr>
            <w:tcW w:w="1417" w:type="dxa"/>
            <w:tcBorders>
              <w:top w:val="nil"/>
              <w:left w:val="nil"/>
              <w:bottom w:val="single" w:sz="4" w:space="0" w:color="auto"/>
              <w:right w:val="single" w:sz="4" w:space="0" w:color="auto"/>
            </w:tcBorders>
            <w:shd w:val="clear" w:color="auto" w:fill="auto"/>
            <w:noWrap/>
            <w:vAlign w:val="bottom"/>
            <w:hideMark/>
          </w:tcPr>
          <w:p w14:paraId="53E46FAD" w14:textId="77777777" w:rsidR="00CF3957" w:rsidRPr="00157FA2" w:rsidRDefault="00CF3957" w:rsidP="001E71E3">
            <w:pPr>
              <w:keepNext/>
              <w:jc w:val="right"/>
              <w:rPr>
                <w:sz w:val="16"/>
                <w:szCs w:val="16"/>
              </w:rPr>
            </w:pPr>
            <w:r w:rsidRPr="00157FA2">
              <w:rPr>
                <w:sz w:val="16"/>
                <w:szCs w:val="16"/>
              </w:rPr>
              <w:t>400.000.000,00</w:t>
            </w:r>
          </w:p>
        </w:tc>
        <w:tc>
          <w:tcPr>
            <w:tcW w:w="1418" w:type="dxa"/>
            <w:tcBorders>
              <w:top w:val="nil"/>
              <w:left w:val="nil"/>
              <w:bottom w:val="nil"/>
              <w:right w:val="single" w:sz="4" w:space="0" w:color="auto"/>
            </w:tcBorders>
            <w:shd w:val="clear" w:color="auto" w:fill="auto"/>
            <w:noWrap/>
            <w:vAlign w:val="bottom"/>
            <w:hideMark/>
          </w:tcPr>
          <w:p w14:paraId="7D9D339C" w14:textId="77777777" w:rsidR="00CF3957" w:rsidRPr="00157FA2" w:rsidRDefault="00CF3957" w:rsidP="001E71E3">
            <w:pPr>
              <w:keepNext/>
              <w:jc w:val="right"/>
              <w:rPr>
                <w:sz w:val="16"/>
                <w:szCs w:val="16"/>
              </w:rPr>
            </w:pPr>
            <w:r w:rsidRPr="00157FA2">
              <w:rPr>
                <w:sz w:val="16"/>
                <w:szCs w:val="16"/>
              </w:rPr>
              <w:t>400.000.000,00</w:t>
            </w:r>
          </w:p>
        </w:tc>
      </w:tr>
      <w:tr w:rsidR="00CF3957" w:rsidRPr="00157FA2" w14:paraId="2743022A"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79FC63C" w14:textId="77777777" w:rsidR="00CF3957" w:rsidRPr="00157FA2" w:rsidRDefault="00CF3957" w:rsidP="001E71E3">
            <w:pPr>
              <w:keepNext/>
              <w:jc w:val="center"/>
              <w:rPr>
                <w:sz w:val="16"/>
                <w:szCs w:val="16"/>
              </w:rPr>
            </w:pPr>
            <w:r w:rsidRPr="00157FA2">
              <w:rPr>
                <w:sz w:val="16"/>
                <w:szCs w:val="16"/>
              </w:rPr>
              <w:t>5.</w:t>
            </w:r>
          </w:p>
        </w:tc>
        <w:tc>
          <w:tcPr>
            <w:tcW w:w="4047" w:type="dxa"/>
            <w:tcBorders>
              <w:top w:val="nil"/>
              <w:left w:val="nil"/>
              <w:bottom w:val="single" w:sz="4" w:space="0" w:color="auto"/>
              <w:right w:val="single" w:sz="4" w:space="0" w:color="auto"/>
            </w:tcBorders>
            <w:shd w:val="clear" w:color="auto" w:fill="auto"/>
            <w:noWrap/>
            <w:vAlign w:val="bottom"/>
            <w:hideMark/>
          </w:tcPr>
          <w:p w14:paraId="6784A231" w14:textId="77777777" w:rsidR="00CF3957" w:rsidRPr="00157FA2" w:rsidRDefault="00CF3957" w:rsidP="001E71E3">
            <w:pPr>
              <w:keepNext/>
              <w:rPr>
                <w:sz w:val="16"/>
                <w:szCs w:val="16"/>
              </w:rPr>
            </w:pPr>
            <w:r w:rsidRPr="00157FA2">
              <w:rPr>
                <w:sz w:val="16"/>
                <w:szCs w:val="16"/>
              </w:rPr>
              <w:t xml:space="preserve">HPB HRK 500 </w:t>
            </w:r>
            <w:proofErr w:type="spellStart"/>
            <w:r w:rsidRPr="00157FA2">
              <w:rPr>
                <w:sz w:val="16"/>
                <w:szCs w:val="16"/>
              </w:rPr>
              <w:t>mil</w:t>
            </w:r>
            <w:proofErr w:type="spellEnd"/>
            <w:r w:rsidRPr="00157FA2">
              <w:rPr>
                <w:sz w:val="16"/>
                <w:szCs w:val="16"/>
              </w:rPr>
              <w:t>. D-2025</w:t>
            </w:r>
          </w:p>
        </w:tc>
        <w:tc>
          <w:tcPr>
            <w:tcW w:w="850" w:type="dxa"/>
            <w:tcBorders>
              <w:top w:val="nil"/>
              <w:left w:val="nil"/>
              <w:bottom w:val="single" w:sz="4" w:space="0" w:color="auto"/>
              <w:right w:val="single" w:sz="4" w:space="0" w:color="auto"/>
            </w:tcBorders>
            <w:shd w:val="clear" w:color="auto" w:fill="auto"/>
            <w:noWrap/>
            <w:vAlign w:val="bottom"/>
            <w:hideMark/>
          </w:tcPr>
          <w:p w14:paraId="664F2D0E" w14:textId="77777777" w:rsidR="00CF3957" w:rsidRPr="00157FA2" w:rsidRDefault="00CF3957" w:rsidP="001E71E3">
            <w:pPr>
              <w:keepNext/>
              <w:jc w:val="center"/>
              <w:rPr>
                <w:sz w:val="16"/>
                <w:szCs w:val="16"/>
              </w:rPr>
            </w:pPr>
            <w:r w:rsidRPr="00157FA2">
              <w:rPr>
                <w:sz w:val="16"/>
                <w:szCs w:val="16"/>
              </w:rPr>
              <w:t>HPB</w:t>
            </w:r>
          </w:p>
        </w:tc>
        <w:tc>
          <w:tcPr>
            <w:tcW w:w="709" w:type="dxa"/>
            <w:tcBorders>
              <w:top w:val="nil"/>
              <w:left w:val="nil"/>
              <w:bottom w:val="single" w:sz="4" w:space="0" w:color="auto"/>
              <w:right w:val="single" w:sz="4" w:space="0" w:color="auto"/>
            </w:tcBorders>
            <w:shd w:val="clear" w:color="auto" w:fill="auto"/>
            <w:noWrap/>
            <w:vAlign w:val="bottom"/>
            <w:hideMark/>
          </w:tcPr>
          <w:p w14:paraId="06806A93" w14:textId="77777777" w:rsidR="00CF3957" w:rsidRPr="00157FA2" w:rsidRDefault="00CF3957" w:rsidP="001E71E3">
            <w:pPr>
              <w:keepNext/>
              <w:jc w:val="center"/>
              <w:rPr>
                <w:sz w:val="16"/>
                <w:szCs w:val="16"/>
              </w:rPr>
            </w:pPr>
            <w:r w:rsidRPr="00157FA2">
              <w:rPr>
                <w:sz w:val="16"/>
                <w:szCs w:val="16"/>
              </w:rPr>
              <w:t>HRK</w:t>
            </w:r>
          </w:p>
        </w:tc>
        <w:tc>
          <w:tcPr>
            <w:tcW w:w="1417" w:type="dxa"/>
            <w:tcBorders>
              <w:top w:val="nil"/>
              <w:left w:val="nil"/>
              <w:bottom w:val="single" w:sz="4" w:space="0" w:color="auto"/>
              <w:right w:val="single" w:sz="4" w:space="0" w:color="auto"/>
            </w:tcBorders>
            <w:shd w:val="clear" w:color="auto" w:fill="auto"/>
            <w:noWrap/>
            <w:vAlign w:val="bottom"/>
            <w:hideMark/>
          </w:tcPr>
          <w:p w14:paraId="07853FE1" w14:textId="77777777" w:rsidR="00CF3957" w:rsidRPr="00157FA2" w:rsidRDefault="00CF3957" w:rsidP="001E71E3">
            <w:pPr>
              <w:keepNext/>
              <w:jc w:val="right"/>
              <w:rPr>
                <w:sz w:val="16"/>
                <w:szCs w:val="16"/>
              </w:rPr>
            </w:pPr>
            <w:r w:rsidRPr="00157FA2">
              <w:rPr>
                <w:sz w:val="16"/>
                <w:szCs w:val="16"/>
              </w:rPr>
              <w:t>500.000.000,00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F0503D" w14:textId="77777777" w:rsidR="00CF3957" w:rsidRPr="00157FA2" w:rsidRDefault="00CF3957" w:rsidP="001E71E3">
            <w:pPr>
              <w:keepNext/>
              <w:jc w:val="right"/>
              <w:rPr>
                <w:sz w:val="16"/>
                <w:szCs w:val="16"/>
              </w:rPr>
            </w:pPr>
            <w:r w:rsidRPr="00157FA2">
              <w:rPr>
                <w:sz w:val="16"/>
                <w:szCs w:val="16"/>
              </w:rPr>
              <w:t>500.000.000,00</w:t>
            </w:r>
          </w:p>
        </w:tc>
      </w:tr>
      <w:tr w:rsidR="00CF3957" w:rsidRPr="00157FA2" w14:paraId="5E5C0372"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50B6BC1B" w14:textId="77777777" w:rsidR="00CF3957" w:rsidRPr="00157FA2" w:rsidRDefault="00CF3957" w:rsidP="001E71E3">
            <w:pPr>
              <w:keepNext/>
              <w:jc w:val="center"/>
              <w:rPr>
                <w:sz w:val="16"/>
                <w:szCs w:val="16"/>
              </w:rPr>
            </w:pPr>
            <w:r w:rsidRPr="00157FA2">
              <w:rPr>
                <w:sz w:val="16"/>
                <w:szCs w:val="16"/>
              </w:rPr>
              <w:t>6.</w:t>
            </w:r>
          </w:p>
        </w:tc>
        <w:tc>
          <w:tcPr>
            <w:tcW w:w="4047" w:type="dxa"/>
            <w:tcBorders>
              <w:top w:val="nil"/>
              <w:left w:val="nil"/>
              <w:bottom w:val="single" w:sz="4" w:space="0" w:color="auto"/>
              <w:right w:val="single" w:sz="4" w:space="0" w:color="auto"/>
            </w:tcBorders>
            <w:shd w:val="clear" w:color="auto" w:fill="auto"/>
            <w:noWrap/>
            <w:vAlign w:val="bottom"/>
            <w:hideMark/>
          </w:tcPr>
          <w:p w14:paraId="0D5B3027" w14:textId="77777777" w:rsidR="00CF3957" w:rsidRPr="00157FA2" w:rsidRDefault="00CF3957" w:rsidP="001E71E3">
            <w:pPr>
              <w:keepNext/>
              <w:rPr>
                <w:sz w:val="16"/>
                <w:szCs w:val="16"/>
              </w:rPr>
            </w:pPr>
            <w:r w:rsidRPr="00157FA2">
              <w:rPr>
                <w:sz w:val="16"/>
                <w:szCs w:val="16"/>
              </w:rPr>
              <w:t xml:space="preserve">HBOR HRK 136 </w:t>
            </w:r>
            <w:proofErr w:type="spellStart"/>
            <w:r w:rsidRPr="00157FA2">
              <w:rPr>
                <w:sz w:val="16"/>
                <w:szCs w:val="16"/>
              </w:rPr>
              <w:t>mil</w:t>
            </w:r>
            <w:proofErr w:type="spellEnd"/>
            <w:r w:rsidRPr="00157FA2">
              <w:rPr>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14:paraId="7E53018F" w14:textId="77777777" w:rsidR="00CF3957" w:rsidRPr="00157FA2" w:rsidRDefault="00CF3957" w:rsidP="001E71E3">
            <w:pPr>
              <w:keepNext/>
              <w:jc w:val="center"/>
              <w:rPr>
                <w:sz w:val="16"/>
                <w:szCs w:val="16"/>
              </w:rPr>
            </w:pPr>
            <w:r w:rsidRPr="00157FA2">
              <w:rPr>
                <w:sz w:val="16"/>
                <w:szCs w:val="16"/>
              </w:rPr>
              <w:t>HBOR</w:t>
            </w:r>
          </w:p>
        </w:tc>
        <w:tc>
          <w:tcPr>
            <w:tcW w:w="709" w:type="dxa"/>
            <w:tcBorders>
              <w:top w:val="nil"/>
              <w:left w:val="nil"/>
              <w:bottom w:val="single" w:sz="4" w:space="0" w:color="auto"/>
              <w:right w:val="single" w:sz="4" w:space="0" w:color="auto"/>
            </w:tcBorders>
            <w:shd w:val="clear" w:color="auto" w:fill="auto"/>
            <w:noWrap/>
            <w:vAlign w:val="bottom"/>
            <w:hideMark/>
          </w:tcPr>
          <w:p w14:paraId="516FD065" w14:textId="77777777" w:rsidR="00CF3957" w:rsidRPr="00157FA2" w:rsidRDefault="00CF3957" w:rsidP="001E71E3">
            <w:pPr>
              <w:keepNext/>
              <w:jc w:val="center"/>
              <w:rPr>
                <w:sz w:val="16"/>
                <w:szCs w:val="16"/>
              </w:rPr>
            </w:pPr>
            <w:r w:rsidRPr="00157FA2">
              <w:rPr>
                <w:sz w:val="16"/>
                <w:szCs w:val="16"/>
              </w:rPr>
              <w:t>HRK</w:t>
            </w:r>
          </w:p>
        </w:tc>
        <w:tc>
          <w:tcPr>
            <w:tcW w:w="1417" w:type="dxa"/>
            <w:tcBorders>
              <w:top w:val="nil"/>
              <w:left w:val="nil"/>
              <w:bottom w:val="single" w:sz="4" w:space="0" w:color="auto"/>
              <w:right w:val="single" w:sz="4" w:space="0" w:color="auto"/>
            </w:tcBorders>
            <w:shd w:val="clear" w:color="auto" w:fill="auto"/>
            <w:noWrap/>
            <w:vAlign w:val="bottom"/>
            <w:hideMark/>
          </w:tcPr>
          <w:p w14:paraId="499A9FDD" w14:textId="77777777" w:rsidR="00CF3957" w:rsidRPr="00157FA2" w:rsidRDefault="00CF3957" w:rsidP="001E71E3">
            <w:pPr>
              <w:keepNext/>
              <w:jc w:val="right"/>
              <w:rPr>
                <w:sz w:val="16"/>
                <w:szCs w:val="16"/>
              </w:rPr>
            </w:pPr>
            <w:r w:rsidRPr="00157FA2">
              <w:rPr>
                <w:sz w:val="16"/>
                <w:szCs w:val="16"/>
              </w:rPr>
              <w:t>119.000.000,00</w:t>
            </w:r>
          </w:p>
        </w:tc>
        <w:tc>
          <w:tcPr>
            <w:tcW w:w="1418" w:type="dxa"/>
            <w:tcBorders>
              <w:top w:val="nil"/>
              <w:left w:val="nil"/>
              <w:bottom w:val="single" w:sz="4" w:space="0" w:color="auto"/>
              <w:right w:val="single" w:sz="4" w:space="0" w:color="auto"/>
            </w:tcBorders>
            <w:shd w:val="clear" w:color="auto" w:fill="auto"/>
            <w:noWrap/>
            <w:vAlign w:val="bottom"/>
            <w:hideMark/>
          </w:tcPr>
          <w:p w14:paraId="4BF3ADB6" w14:textId="77777777" w:rsidR="00CF3957" w:rsidRPr="00157FA2" w:rsidRDefault="00CF3957" w:rsidP="001E71E3">
            <w:pPr>
              <w:keepNext/>
              <w:jc w:val="right"/>
              <w:rPr>
                <w:sz w:val="16"/>
                <w:szCs w:val="16"/>
              </w:rPr>
            </w:pPr>
            <w:r w:rsidRPr="00157FA2">
              <w:rPr>
                <w:sz w:val="16"/>
                <w:szCs w:val="16"/>
              </w:rPr>
              <w:t>119.000.000,00</w:t>
            </w:r>
          </w:p>
        </w:tc>
      </w:tr>
      <w:tr w:rsidR="00CF3957" w:rsidRPr="00157FA2" w14:paraId="3D61C5BD"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AFD0E93" w14:textId="77777777" w:rsidR="00CF3957" w:rsidRPr="00157FA2" w:rsidRDefault="00CF3957" w:rsidP="001E71E3">
            <w:pPr>
              <w:keepNext/>
              <w:jc w:val="center"/>
              <w:rPr>
                <w:sz w:val="16"/>
                <w:szCs w:val="16"/>
              </w:rPr>
            </w:pPr>
            <w:r w:rsidRPr="00157FA2">
              <w:rPr>
                <w:sz w:val="16"/>
                <w:szCs w:val="16"/>
              </w:rPr>
              <w:t>7.</w:t>
            </w:r>
          </w:p>
        </w:tc>
        <w:tc>
          <w:tcPr>
            <w:tcW w:w="4047" w:type="dxa"/>
            <w:tcBorders>
              <w:top w:val="nil"/>
              <w:left w:val="nil"/>
              <w:bottom w:val="single" w:sz="4" w:space="0" w:color="auto"/>
              <w:right w:val="single" w:sz="4" w:space="0" w:color="auto"/>
            </w:tcBorders>
            <w:shd w:val="clear" w:color="auto" w:fill="auto"/>
            <w:noWrap/>
            <w:vAlign w:val="bottom"/>
            <w:hideMark/>
          </w:tcPr>
          <w:p w14:paraId="2924CEEF" w14:textId="77777777" w:rsidR="00CF3957" w:rsidRPr="00157FA2" w:rsidRDefault="00CF3957" w:rsidP="001E71E3">
            <w:pPr>
              <w:keepNext/>
              <w:rPr>
                <w:sz w:val="16"/>
                <w:szCs w:val="16"/>
              </w:rPr>
            </w:pPr>
            <w:r w:rsidRPr="00157FA2">
              <w:rPr>
                <w:sz w:val="16"/>
                <w:szCs w:val="16"/>
              </w:rPr>
              <w:t xml:space="preserve">HŽ </w:t>
            </w:r>
            <w:proofErr w:type="spellStart"/>
            <w:r w:rsidRPr="00157FA2">
              <w:rPr>
                <w:sz w:val="16"/>
                <w:szCs w:val="16"/>
              </w:rPr>
              <w:t>Cargo</w:t>
            </w:r>
            <w:proofErr w:type="spellEnd"/>
            <w:r w:rsidRPr="00157FA2">
              <w:rPr>
                <w:sz w:val="16"/>
                <w:szCs w:val="16"/>
              </w:rPr>
              <w:t xml:space="preserve"> HPB</w:t>
            </w:r>
          </w:p>
        </w:tc>
        <w:tc>
          <w:tcPr>
            <w:tcW w:w="850" w:type="dxa"/>
            <w:tcBorders>
              <w:top w:val="nil"/>
              <w:left w:val="nil"/>
              <w:bottom w:val="single" w:sz="4" w:space="0" w:color="auto"/>
              <w:right w:val="single" w:sz="4" w:space="0" w:color="auto"/>
            </w:tcBorders>
            <w:shd w:val="clear" w:color="auto" w:fill="auto"/>
            <w:noWrap/>
            <w:vAlign w:val="bottom"/>
            <w:hideMark/>
          </w:tcPr>
          <w:p w14:paraId="04235CC7" w14:textId="77777777" w:rsidR="00CF3957" w:rsidRPr="00157FA2" w:rsidRDefault="00CF3957" w:rsidP="001E71E3">
            <w:pPr>
              <w:keepNext/>
              <w:jc w:val="center"/>
              <w:rPr>
                <w:sz w:val="16"/>
                <w:szCs w:val="16"/>
              </w:rPr>
            </w:pPr>
            <w:r w:rsidRPr="00157FA2">
              <w:rPr>
                <w:sz w:val="16"/>
                <w:szCs w:val="16"/>
              </w:rPr>
              <w:t>HPB</w:t>
            </w:r>
          </w:p>
        </w:tc>
        <w:tc>
          <w:tcPr>
            <w:tcW w:w="709" w:type="dxa"/>
            <w:tcBorders>
              <w:top w:val="nil"/>
              <w:left w:val="nil"/>
              <w:bottom w:val="single" w:sz="4" w:space="0" w:color="auto"/>
              <w:right w:val="single" w:sz="4" w:space="0" w:color="auto"/>
            </w:tcBorders>
            <w:shd w:val="clear" w:color="auto" w:fill="auto"/>
            <w:noWrap/>
            <w:vAlign w:val="bottom"/>
            <w:hideMark/>
          </w:tcPr>
          <w:p w14:paraId="5BAAE960" w14:textId="77777777" w:rsidR="00CF3957" w:rsidRPr="00157FA2" w:rsidRDefault="00CF3957" w:rsidP="001E71E3">
            <w:pPr>
              <w:keepNext/>
              <w:jc w:val="center"/>
              <w:rPr>
                <w:sz w:val="16"/>
                <w:szCs w:val="16"/>
              </w:rPr>
            </w:pPr>
            <w:r w:rsidRPr="00157FA2">
              <w:rPr>
                <w:sz w:val="16"/>
                <w:szCs w:val="16"/>
              </w:rPr>
              <w:t>HRK</w:t>
            </w:r>
          </w:p>
        </w:tc>
        <w:tc>
          <w:tcPr>
            <w:tcW w:w="1417" w:type="dxa"/>
            <w:tcBorders>
              <w:top w:val="nil"/>
              <w:left w:val="nil"/>
              <w:bottom w:val="single" w:sz="4" w:space="0" w:color="auto"/>
              <w:right w:val="single" w:sz="4" w:space="0" w:color="auto"/>
            </w:tcBorders>
            <w:shd w:val="clear" w:color="auto" w:fill="auto"/>
            <w:noWrap/>
            <w:vAlign w:val="bottom"/>
            <w:hideMark/>
          </w:tcPr>
          <w:p w14:paraId="46C7F2B9" w14:textId="77777777" w:rsidR="00CF3957" w:rsidRPr="00157FA2" w:rsidRDefault="00CF3957" w:rsidP="001E71E3">
            <w:pPr>
              <w:keepNext/>
              <w:jc w:val="right"/>
              <w:rPr>
                <w:sz w:val="16"/>
                <w:szCs w:val="16"/>
              </w:rPr>
            </w:pPr>
            <w:r w:rsidRPr="00157FA2">
              <w:rPr>
                <w:sz w:val="16"/>
                <w:szCs w:val="16"/>
              </w:rPr>
              <w:t>53.750.000,00</w:t>
            </w:r>
          </w:p>
        </w:tc>
        <w:tc>
          <w:tcPr>
            <w:tcW w:w="1418" w:type="dxa"/>
            <w:tcBorders>
              <w:top w:val="nil"/>
              <w:left w:val="nil"/>
              <w:bottom w:val="single" w:sz="4" w:space="0" w:color="auto"/>
              <w:right w:val="single" w:sz="4" w:space="0" w:color="auto"/>
            </w:tcBorders>
            <w:shd w:val="clear" w:color="auto" w:fill="auto"/>
            <w:noWrap/>
            <w:vAlign w:val="bottom"/>
            <w:hideMark/>
          </w:tcPr>
          <w:p w14:paraId="7FB77DCB" w14:textId="77777777" w:rsidR="00CF3957" w:rsidRPr="00157FA2" w:rsidRDefault="00CF3957" w:rsidP="001E71E3">
            <w:pPr>
              <w:keepNext/>
              <w:jc w:val="right"/>
              <w:rPr>
                <w:sz w:val="16"/>
                <w:szCs w:val="16"/>
              </w:rPr>
            </w:pPr>
            <w:r w:rsidRPr="00157FA2">
              <w:rPr>
                <w:sz w:val="16"/>
                <w:szCs w:val="16"/>
              </w:rPr>
              <w:t>53.750.000,00</w:t>
            </w:r>
          </w:p>
        </w:tc>
      </w:tr>
      <w:tr w:rsidR="00CF3957" w:rsidRPr="00157FA2" w14:paraId="034D81F8"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AEBBA33" w14:textId="77777777" w:rsidR="00CF3957" w:rsidRPr="00157FA2" w:rsidRDefault="00CF3957" w:rsidP="001E71E3">
            <w:pPr>
              <w:keepNext/>
              <w:jc w:val="center"/>
              <w:rPr>
                <w:sz w:val="16"/>
                <w:szCs w:val="16"/>
              </w:rPr>
            </w:pPr>
            <w:r w:rsidRPr="00157FA2">
              <w:rPr>
                <w:sz w:val="16"/>
                <w:szCs w:val="16"/>
              </w:rPr>
              <w:t>8.</w:t>
            </w:r>
          </w:p>
        </w:tc>
        <w:tc>
          <w:tcPr>
            <w:tcW w:w="4047" w:type="dxa"/>
            <w:tcBorders>
              <w:top w:val="nil"/>
              <w:left w:val="nil"/>
              <w:bottom w:val="single" w:sz="4" w:space="0" w:color="auto"/>
              <w:right w:val="single" w:sz="4" w:space="0" w:color="auto"/>
            </w:tcBorders>
            <w:shd w:val="clear" w:color="auto" w:fill="auto"/>
            <w:noWrap/>
            <w:vAlign w:val="bottom"/>
            <w:hideMark/>
          </w:tcPr>
          <w:p w14:paraId="70532EDC" w14:textId="77777777" w:rsidR="00CF3957" w:rsidRPr="00157FA2" w:rsidRDefault="00CF3957" w:rsidP="001E71E3">
            <w:pPr>
              <w:keepNext/>
              <w:rPr>
                <w:sz w:val="16"/>
                <w:szCs w:val="16"/>
              </w:rPr>
            </w:pPr>
            <w:r w:rsidRPr="00157FA2">
              <w:rPr>
                <w:sz w:val="16"/>
                <w:szCs w:val="16"/>
              </w:rPr>
              <w:t xml:space="preserve">HŽ </w:t>
            </w:r>
            <w:proofErr w:type="spellStart"/>
            <w:r w:rsidRPr="00157FA2">
              <w:rPr>
                <w:sz w:val="16"/>
                <w:szCs w:val="16"/>
              </w:rPr>
              <w:t>Cargo</w:t>
            </w:r>
            <w:proofErr w:type="spellEnd"/>
            <w:r w:rsidRPr="00157FA2">
              <w:rPr>
                <w:sz w:val="16"/>
                <w:szCs w:val="16"/>
              </w:rPr>
              <w:t xml:space="preserve"> Cr</w:t>
            </w:r>
            <w:r>
              <w:rPr>
                <w:sz w:val="16"/>
                <w:szCs w:val="16"/>
              </w:rPr>
              <w:t>o</w:t>
            </w:r>
            <w:r w:rsidRPr="00157FA2">
              <w:rPr>
                <w:sz w:val="16"/>
                <w:szCs w:val="16"/>
              </w:rPr>
              <w:t>atia banka</w:t>
            </w:r>
          </w:p>
        </w:tc>
        <w:tc>
          <w:tcPr>
            <w:tcW w:w="850" w:type="dxa"/>
            <w:tcBorders>
              <w:top w:val="nil"/>
              <w:left w:val="nil"/>
              <w:bottom w:val="single" w:sz="4" w:space="0" w:color="auto"/>
              <w:right w:val="single" w:sz="4" w:space="0" w:color="auto"/>
            </w:tcBorders>
            <w:shd w:val="clear" w:color="auto" w:fill="auto"/>
            <w:noWrap/>
            <w:vAlign w:val="bottom"/>
            <w:hideMark/>
          </w:tcPr>
          <w:p w14:paraId="4239A356" w14:textId="77777777" w:rsidR="00CF3957" w:rsidRPr="00157FA2" w:rsidRDefault="00CF3957" w:rsidP="001E71E3">
            <w:pPr>
              <w:keepNext/>
              <w:jc w:val="center"/>
              <w:rPr>
                <w:sz w:val="16"/>
                <w:szCs w:val="16"/>
              </w:rPr>
            </w:pPr>
            <w:r w:rsidRPr="00157FA2">
              <w:rPr>
                <w:sz w:val="16"/>
                <w:szCs w:val="16"/>
              </w:rPr>
              <w:t>Croatia b.</w:t>
            </w:r>
          </w:p>
        </w:tc>
        <w:tc>
          <w:tcPr>
            <w:tcW w:w="709" w:type="dxa"/>
            <w:tcBorders>
              <w:top w:val="nil"/>
              <w:left w:val="nil"/>
              <w:bottom w:val="single" w:sz="4" w:space="0" w:color="auto"/>
              <w:right w:val="single" w:sz="4" w:space="0" w:color="auto"/>
            </w:tcBorders>
            <w:shd w:val="clear" w:color="auto" w:fill="auto"/>
            <w:noWrap/>
            <w:vAlign w:val="bottom"/>
            <w:hideMark/>
          </w:tcPr>
          <w:p w14:paraId="383BE5FF" w14:textId="77777777" w:rsidR="00CF3957" w:rsidRPr="00157FA2" w:rsidRDefault="00CF3957" w:rsidP="001E71E3">
            <w:pPr>
              <w:keepNext/>
              <w:jc w:val="center"/>
              <w:rPr>
                <w:sz w:val="16"/>
                <w:szCs w:val="16"/>
              </w:rPr>
            </w:pPr>
            <w:r w:rsidRPr="00157FA2">
              <w:rPr>
                <w:sz w:val="16"/>
                <w:szCs w:val="16"/>
              </w:rPr>
              <w:t>HRK</w:t>
            </w:r>
          </w:p>
        </w:tc>
        <w:tc>
          <w:tcPr>
            <w:tcW w:w="1417" w:type="dxa"/>
            <w:tcBorders>
              <w:top w:val="nil"/>
              <w:left w:val="nil"/>
              <w:bottom w:val="single" w:sz="4" w:space="0" w:color="auto"/>
              <w:right w:val="single" w:sz="4" w:space="0" w:color="auto"/>
            </w:tcBorders>
            <w:shd w:val="clear" w:color="auto" w:fill="auto"/>
            <w:noWrap/>
            <w:vAlign w:val="bottom"/>
            <w:hideMark/>
          </w:tcPr>
          <w:p w14:paraId="6CF3339D" w14:textId="77777777" w:rsidR="00CF3957" w:rsidRPr="00157FA2" w:rsidRDefault="00CF3957" w:rsidP="001E71E3">
            <w:pPr>
              <w:keepNext/>
              <w:jc w:val="right"/>
              <w:rPr>
                <w:sz w:val="16"/>
                <w:szCs w:val="16"/>
              </w:rPr>
            </w:pPr>
            <w:r w:rsidRPr="00157FA2">
              <w:rPr>
                <w:sz w:val="16"/>
                <w:szCs w:val="16"/>
              </w:rPr>
              <w:t>35.833.333,59</w:t>
            </w:r>
          </w:p>
        </w:tc>
        <w:tc>
          <w:tcPr>
            <w:tcW w:w="1418" w:type="dxa"/>
            <w:tcBorders>
              <w:top w:val="nil"/>
              <w:left w:val="nil"/>
              <w:bottom w:val="single" w:sz="4" w:space="0" w:color="auto"/>
              <w:right w:val="single" w:sz="4" w:space="0" w:color="auto"/>
            </w:tcBorders>
            <w:shd w:val="clear" w:color="auto" w:fill="auto"/>
            <w:noWrap/>
            <w:vAlign w:val="bottom"/>
            <w:hideMark/>
          </w:tcPr>
          <w:p w14:paraId="490FEEEB" w14:textId="77777777" w:rsidR="00CF3957" w:rsidRPr="00157FA2" w:rsidRDefault="00CF3957" w:rsidP="001E71E3">
            <w:pPr>
              <w:keepNext/>
              <w:jc w:val="right"/>
              <w:rPr>
                <w:sz w:val="16"/>
                <w:szCs w:val="16"/>
              </w:rPr>
            </w:pPr>
            <w:r w:rsidRPr="00157FA2">
              <w:rPr>
                <w:sz w:val="16"/>
                <w:szCs w:val="16"/>
              </w:rPr>
              <w:t>35.833.333,59</w:t>
            </w:r>
          </w:p>
        </w:tc>
      </w:tr>
      <w:tr w:rsidR="00CF3957" w:rsidRPr="00157FA2" w14:paraId="3CEB3CB4" w14:textId="77777777" w:rsidTr="001E71E3">
        <w:trPr>
          <w:trHeight w:val="27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FBD57" w14:textId="77777777" w:rsidR="00CF3957" w:rsidRPr="00157FA2" w:rsidRDefault="00CF3957" w:rsidP="001E71E3">
            <w:pPr>
              <w:keepNext/>
              <w:jc w:val="center"/>
              <w:rPr>
                <w:b/>
                <w:bCs/>
                <w:sz w:val="16"/>
                <w:szCs w:val="16"/>
              </w:rPr>
            </w:pPr>
          </w:p>
        </w:tc>
        <w:tc>
          <w:tcPr>
            <w:tcW w:w="4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9FED" w14:textId="77777777" w:rsidR="00CF3957" w:rsidRPr="00157FA2" w:rsidRDefault="00CF3957" w:rsidP="001E71E3">
            <w:pPr>
              <w:keepNext/>
              <w:rPr>
                <w:sz w:val="16"/>
                <w:szCs w:val="16"/>
              </w:rPr>
            </w:pPr>
            <w:r w:rsidRPr="00157FA2">
              <w:rPr>
                <w:b/>
                <w:bCs/>
                <w:sz w:val="16"/>
                <w:szCs w:val="16"/>
              </w:rPr>
              <w:t>UKUPNO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73878" w14:textId="77777777" w:rsidR="00CF3957" w:rsidRPr="00157FA2" w:rsidRDefault="00CF3957" w:rsidP="001E71E3">
            <w:pPr>
              <w:keepNext/>
              <w:jc w:val="center"/>
              <w:rPr>
                <w:sz w:val="16"/>
                <w:szCs w:val="16"/>
              </w:rPr>
            </w:pPr>
            <w:r w:rsidRPr="00157FA2">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E0053" w14:textId="77777777" w:rsidR="00CF3957" w:rsidRPr="00157FA2" w:rsidRDefault="00CF3957" w:rsidP="001E71E3">
            <w:pPr>
              <w:keepNext/>
              <w:jc w:val="center"/>
              <w:rPr>
                <w:b/>
                <w:bCs/>
                <w:sz w:val="16"/>
                <w:szCs w:val="16"/>
              </w:rPr>
            </w:pPr>
            <w:r w:rsidRPr="00157FA2">
              <w:rPr>
                <w:b/>
                <w:bCs/>
                <w:sz w:val="16"/>
                <w:szCs w:val="16"/>
              </w:rPr>
              <w:t>EUR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F5AD9" w14:textId="77777777" w:rsidR="00CF3957" w:rsidRPr="00157FA2" w:rsidRDefault="00CF3957" w:rsidP="001E71E3">
            <w:pPr>
              <w:keepNext/>
              <w:jc w:val="right"/>
              <w:rPr>
                <w:b/>
                <w:bCs/>
                <w:sz w:val="16"/>
                <w:szCs w:val="16"/>
              </w:rPr>
            </w:pPr>
            <w:r w:rsidRPr="00157FA2">
              <w:rPr>
                <w:b/>
                <w:bCs/>
                <w:sz w:val="16"/>
                <w:szCs w:val="16"/>
              </w:rPr>
              <w:t>50.747.928,79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D29D8" w14:textId="77777777" w:rsidR="00CF3957" w:rsidRPr="00157FA2" w:rsidRDefault="00CF3957" w:rsidP="001E71E3">
            <w:pPr>
              <w:keepNext/>
              <w:jc w:val="right"/>
              <w:rPr>
                <w:b/>
                <w:bCs/>
                <w:sz w:val="16"/>
                <w:szCs w:val="16"/>
              </w:rPr>
            </w:pPr>
            <w:r w:rsidRPr="00157FA2">
              <w:rPr>
                <w:b/>
                <w:bCs/>
                <w:sz w:val="16"/>
                <w:szCs w:val="16"/>
              </w:rPr>
              <w:t>382.360.269,47</w:t>
            </w:r>
          </w:p>
        </w:tc>
      </w:tr>
      <w:tr w:rsidR="00CF3957" w:rsidRPr="00157FA2" w14:paraId="06967D21" w14:textId="77777777" w:rsidTr="001E71E3">
        <w:trPr>
          <w:trHeight w:val="27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49B56" w14:textId="77777777" w:rsidR="00CF3957" w:rsidRPr="00157FA2" w:rsidRDefault="00CF3957" w:rsidP="001E71E3">
            <w:pPr>
              <w:keepNext/>
              <w:jc w:val="center"/>
              <w:rPr>
                <w:b/>
                <w:bCs/>
                <w:sz w:val="16"/>
                <w:szCs w:val="16"/>
              </w:rPr>
            </w:pPr>
          </w:p>
        </w:tc>
        <w:tc>
          <w:tcPr>
            <w:tcW w:w="4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F2D5" w14:textId="77777777" w:rsidR="00CF3957" w:rsidRPr="00157FA2" w:rsidRDefault="00CF3957" w:rsidP="001E71E3">
            <w:pPr>
              <w:keepNext/>
              <w:rPr>
                <w:sz w:val="16"/>
                <w:szCs w:val="16"/>
              </w:rPr>
            </w:pPr>
            <w:r w:rsidRPr="00157FA2">
              <w:rPr>
                <w:b/>
                <w:bCs/>
                <w:sz w:val="16"/>
                <w:szCs w:val="16"/>
              </w:rPr>
              <w:t>UKUPNO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B9EE2" w14:textId="77777777" w:rsidR="00CF3957" w:rsidRPr="00157FA2" w:rsidRDefault="00CF3957" w:rsidP="001E71E3">
            <w:pPr>
              <w:keepNext/>
              <w:jc w:val="center"/>
              <w:rPr>
                <w:sz w:val="16"/>
                <w:szCs w:val="16"/>
              </w:rPr>
            </w:pPr>
            <w:r w:rsidRPr="00157FA2">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B2536" w14:textId="77777777" w:rsidR="00CF3957" w:rsidRPr="00157FA2" w:rsidRDefault="00CF3957" w:rsidP="001E71E3">
            <w:pPr>
              <w:keepNext/>
              <w:jc w:val="center"/>
              <w:rPr>
                <w:b/>
                <w:bCs/>
                <w:sz w:val="16"/>
                <w:szCs w:val="16"/>
              </w:rPr>
            </w:pPr>
            <w:r w:rsidRPr="00157FA2">
              <w:rPr>
                <w:b/>
                <w:bCs/>
                <w:sz w:val="16"/>
                <w:szCs w:val="16"/>
              </w:rPr>
              <w:t>HRK</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F4BAD" w14:textId="77777777" w:rsidR="00CF3957" w:rsidRPr="00157FA2" w:rsidRDefault="00CF3957" w:rsidP="001E71E3">
            <w:pPr>
              <w:keepNext/>
              <w:jc w:val="right"/>
              <w:rPr>
                <w:b/>
                <w:bCs/>
                <w:sz w:val="16"/>
                <w:szCs w:val="16"/>
              </w:rPr>
            </w:pPr>
            <w:r w:rsidRPr="00157FA2">
              <w:rPr>
                <w:b/>
                <w:bCs/>
                <w:sz w:val="16"/>
                <w:szCs w:val="16"/>
              </w:rPr>
              <w:t>1.647.083.333,59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71B7D" w14:textId="77777777" w:rsidR="00CF3957" w:rsidRPr="00157FA2" w:rsidRDefault="00CF3957" w:rsidP="001E71E3">
            <w:pPr>
              <w:keepNext/>
              <w:jc w:val="right"/>
              <w:rPr>
                <w:b/>
                <w:bCs/>
                <w:sz w:val="16"/>
                <w:szCs w:val="16"/>
              </w:rPr>
            </w:pPr>
            <w:r w:rsidRPr="00157FA2">
              <w:rPr>
                <w:b/>
                <w:bCs/>
                <w:sz w:val="16"/>
                <w:szCs w:val="16"/>
              </w:rPr>
              <w:t>1.647.083.333,59</w:t>
            </w:r>
          </w:p>
        </w:tc>
      </w:tr>
      <w:tr w:rsidR="00CF3957" w:rsidRPr="00157FA2" w14:paraId="058A6921" w14:textId="77777777" w:rsidTr="001E71E3">
        <w:trPr>
          <w:trHeight w:val="285"/>
        </w:trPr>
        <w:tc>
          <w:tcPr>
            <w:tcW w:w="910" w:type="dxa"/>
            <w:tcBorders>
              <w:top w:val="single" w:sz="4" w:space="0" w:color="auto"/>
            </w:tcBorders>
            <w:shd w:val="clear" w:color="auto" w:fill="auto"/>
            <w:noWrap/>
            <w:vAlign w:val="bottom"/>
            <w:hideMark/>
          </w:tcPr>
          <w:p w14:paraId="564B11FC" w14:textId="77777777" w:rsidR="00CF3957" w:rsidRPr="00157FA2" w:rsidRDefault="00CF3957" w:rsidP="001E71E3">
            <w:pPr>
              <w:keepNext/>
              <w:rPr>
                <w:rFonts w:ascii="Arial" w:hAnsi="Arial" w:cs="Arial"/>
                <w:sz w:val="16"/>
                <w:szCs w:val="16"/>
              </w:rPr>
            </w:pPr>
            <w:r w:rsidRPr="00157FA2">
              <w:rPr>
                <w:rFonts w:ascii="Arial" w:hAnsi="Arial" w:cs="Arial"/>
                <w:sz w:val="16"/>
                <w:szCs w:val="16"/>
              </w:rPr>
              <w:t> </w:t>
            </w:r>
          </w:p>
        </w:tc>
        <w:tc>
          <w:tcPr>
            <w:tcW w:w="4047" w:type="dxa"/>
            <w:tcBorders>
              <w:top w:val="single" w:sz="4" w:space="0" w:color="auto"/>
            </w:tcBorders>
            <w:shd w:val="clear" w:color="auto" w:fill="auto"/>
            <w:noWrap/>
            <w:vAlign w:val="bottom"/>
            <w:hideMark/>
          </w:tcPr>
          <w:p w14:paraId="18FDD6D4" w14:textId="77777777" w:rsidR="00CF3957" w:rsidRPr="00157FA2" w:rsidRDefault="00CF3957" w:rsidP="001E71E3">
            <w:pPr>
              <w:keepNext/>
              <w:rPr>
                <w:rFonts w:ascii="Arial" w:hAnsi="Arial" w:cs="Arial"/>
                <w:sz w:val="16"/>
                <w:szCs w:val="16"/>
              </w:rPr>
            </w:pPr>
            <w:r w:rsidRPr="00157FA2">
              <w:rPr>
                <w:rFonts w:ascii="Arial" w:hAnsi="Arial" w:cs="Arial"/>
                <w:sz w:val="16"/>
                <w:szCs w:val="16"/>
              </w:rPr>
              <w:t> </w:t>
            </w:r>
          </w:p>
        </w:tc>
        <w:tc>
          <w:tcPr>
            <w:tcW w:w="850" w:type="dxa"/>
            <w:tcBorders>
              <w:top w:val="single" w:sz="4" w:space="0" w:color="auto"/>
            </w:tcBorders>
            <w:shd w:val="clear" w:color="auto" w:fill="auto"/>
            <w:noWrap/>
            <w:vAlign w:val="bottom"/>
            <w:hideMark/>
          </w:tcPr>
          <w:p w14:paraId="5D27342B" w14:textId="77777777" w:rsidR="00CF3957" w:rsidRPr="00157FA2" w:rsidRDefault="00CF3957" w:rsidP="001E71E3">
            <w:pPr>
              <w:keepNext/>
              <w:rPr>
                <w:rFonts w:ascii="Arial" w:hAnsi="Arial" w:cs="Arial"/>
                <w:sz w:val="16"/>
                <w:szCs w:val="16"/>
              </w:rPr>
            </w:pPr>
            <w:r w:rsidRPr="00157FA2">
              <w:rPr>
                <w:rFonts w:ascii="Arial" w:hAnsi="Arial" w:cs="Arial"/>
                <w:sz w:val="16"/>
                <w:szCs w:val="16"/>
              </w:rPr>
              <w:t> </w:t>
            </w:r>
          </w:p>
        </w:tc>
        <w:tc>
          <w:tcPr>
            <w:tcW w:w="709" w:type="dxa"/>
            <w:tcBorders>
              <w:top w:val="single" w:sz="4" w:space="0" w:color="auto"/>
            </w:tcBorders>
            <w:shd w:val="clear" w:color="auto" w:fill="auto"/>
            <w:noWrap/>
            <w:vAlign w:val="bottom"/>
            <w:hideMark/>
          </w:tcPr>
          <w:p w14:paraId="44093574" w14:textId="77777777" w:rsidR="00CF3957" w:rsidRPr="00157FA2" w:rsidRDefault="00CF3957" w:rsidP="001E71E3">
            <w:pPr>
              <w:keepNext/>
              <w:rPr>
                <w:rFonts w:ascii="Arial" w:hAnsi="Arial" w:cs="Arial"/>
                <w:sz w:val="16"/>
                <w:szCs w:val="16"/>
              </w:rPr>
            </w:pPr>
            <w:r w:rsidRPr="00157FA2">
              <w:rPr>
                <w:rFonts w:ascii="Arial" w:hAnsi="Arial" w:cs="Arial"/>
                <w:sz w:val="16"/>
                <w:szCs w:val="16"/>
              </w:rPr>
              <w:t> </w:t>
            </w:r>
          </w:p>
        </w:tc>
        <w:tc>
          <w:tcPr>
            <w:tcW w:w="1417" w:type="dxa"/>
            <w:tcBorders>
              <w:top w:val="single" w:sz="4" w:space="0" w:color="auto"/>
              <w:right w:val="single" w:sz="4" w:space="0" w:color="auto"/>
            </w:tcBorders>
            <w:shd w:val="clear" w:color="auto" w:fill="auto"/>
            <w:noWrap/>
            <w:vAlign w:val="bottom"/>
            <w:hideMark/>
          </w:tcPr>
          <w:p w14:paraId="30548932" w14:textId="77777777" w:rsidR="00CF3957" w:rsidRPr="00157FA2" w:rsidRDefault="00CF3957" w:rsidP="001E71E3">
            <w:pPr>
              <w:keepNext/>
              <w:rPr>
                <w:rFonts w:ascii="Arial" w:hAnsi="Arial" w:cs="Arial"/>
                <w:sz w:val="16"/>
                <w:szCs w:val="16"/>
              </w:rPr>
            </w:pPr>
            <w:r w:rsidRPr="00157FA2">
              <w:rPr>
                <w:rFonts w:ascii="Arial" w:hAnsi="Arial" w:cs="Arial"/>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005C7" w14:textId="77777777" w:rsidR="00CF3957" w:rsidRPr="00157FA2" w:rsidRDefault="00CF3957" w:rsidP="001E71E3">
            <w:pPr>
              <w:keepNext/>
              <w:jc w:val="right"/>
              <w:rPr>
                <w:b/>
                <w:bCs/>
                <w:sz w:val="16"/>
                <w:szCs w:val="16"/>
              </w:rPr>
            </w:pPr>
            <w:r w:rsidRPr="00157FA2">
              <w:rPr>
                <w:b/>
                <w:bCs/>
                <w:sz w:val="16"/>
                <w:szCs w:val="16"/>
              </w:rPr>
              <w:t>2.029.443.603,06</w:t>
            </w:r>
          </w:p>
        </w:tc>
      </w:tr>
    </w:tbl>
    <w:p w14:paraId="29EFD58E" w14:textId="77777777" w:rsidR="00CF3957" w:rsidRDefault="00CF3957" w:rsidP="00CF3957">
      <w:pPr>
        <w:keepNext/>
        <w:jc w:val="center"/>
        <w:rPr>
          <w:bCs/>
        </w:rPr>
      </w:pPr>
    </w:p>
    <w:p w14:paraId="70E075C2" w14:textId="77777777" w:rsidR="00CF3957" w:rsidRDefault="00CF3957" w:rsidP="00CF3957">
      <w:pPr>
        <w:keepNext/>
        <w:jc w:val="center"/>
        <w:rPr>
          <w:bCs/>
          <w:sz w:val="28"/>
          <w:szCs w:val="28"/>
        </w:rPr>
      </w:pPr>
    </w:p>
    <w:p w14:paraId="6E129720" w14:textId="77777777" w:rsidR="00CF3957" w:rsidRPr="00C85DCC" w:rsidRDefault="00CF3957" w:rsidP="00CF3957">
      <w:pPr>
        <w:keepNext/>
        <w:jc w:val="center"/>
        <w:rPr>
          <w:bCs/>
          <w:sz w:val="28"/>
          <w:szCs w:val="28"/>
        </w:rPr>
      </w:pPr>
      <w:r>
        <w:rPr>
          <w:bCs/>
          <w:sz w:val="28"/>
          <w:szCs w:val="28"/>
        </w:rPr>
        <w:t>Bilješka 25</w:t>
      </w:r>
      <w:r w:rsidRPr="00C85DCC">
        <w:rPr>
          <w:bCs/>
          <w:sz w:val="28"/>
          <w:szCs w:val="28"/>
        </w:rPr>
        <w:t>.</w:t>
      </w:r>
    </w:p>
    <w:p w14:paraId="5A3C8602" w14:textId="77777777" w:rsidR="00CF3957" w:rsidRDefault="00CF3957" w:rsidP="00CF3957">
      <w:pPr>
        <w:jc w:val="center"/>
        <w:rPr>
          <w:bCs/>
          <w:sz w:val="28"/>
          <w:szCs w:val="28"/>
        </w:rPr>
      </w:pPr>
      <w:r w:rsidRPr="00203418">
        <w:rPr>
          <w:bCs/>
          <w:sz w:val="28"/>
          <w:szCs w:val="28"/>
        </w:rPr>
        <w:t xml:space="preserve">Šifra </w:t>
      </w:r>
      <w:r>
        <w:rPr>
          <w:bCs/>
          <w:sz w:val="28"/>
          <w:szCs w:val="28"/>
        </w:rPr>
        <w:t>2643</w:t>
      </w:r>
      <w:r w:rsidRPr="00D42A73">
        <w:rPr>
          <w:bCs/>
          <w:sz w:val="28"/>
          <w:szCs w:val="28"/>
        </w:rPr>
        <w:t xml:space="preserve"> Obveze za </w:t>
      </w:r>
      <w:r>
        <w:rPr>
          <w:bCs/>
          <w:sz w:val="28"/>
          <w:szCs w:val="28"/>
        </w:rPr>
        <w:t>kredite od</w:t>
      </w:r>
      <w:r w:rsidRPr="00D42A73">
        <w:rPr>
          <w:bCs/>
          <w:sz w:val="28"/>
          <w:szCs w:val="28"/>
        </w:rPr>
        <w:t xml:space="preserve"> tuzemnih financijskih institucija izvan javnog sektora</w:t>
      </w:r>
    </w:p>
    <w:p w14:paraId="5EEDDD68" w14:textId="77777777" w:rsidR="00CF3957" w:rsidRDefault="00CF3957" w:rsidP="00CF3957">
      <w:pPr>
        <w:jc w:val="center"/>
        <w:rPr>
          <w:bCs/>
          <w:sz w:val="28"/>
          <w:szCs w:val="28"/>
        </w:rPr>
      </w:pPr>
    </w:p>
    <w:p w14:paraId="6653C116" w14:textId="77777777" w:rsidR="00CF3957" w:rsidRDefault="00CF3957" w:rsidP="00CF3957">
      <w:pPr>
        <w:jc w:val="both"/>
        <w:rPr>
          <w:color w:val="000000"/>
        </w:rPr>
      </w:pPr>
      <w:r w:rsidRPr="00AA6B88">
        <w:rPr>
          <w:color w:val="000000"/>
        </w:rPr>
        <w:t>Obveze za kredite od tuzemnih financijskih institucija izvan javnog sektora</w:t>
      </w:r>
      <w:r>
        <w:rPr>
          <w:color w:val="000000"/>
        </w:rPr>
        <w:t xml:space="preserve"> na dan 31. prosinca 2022. iznose 21.064.867.593,28 kuna i 6 su % veće u odnosu na stanje obveza na dan 1. siječnja 2022. godine. Najveći dio u iznosu od 20.824.620.117,03 kune odnosi se na obveze</w:t>
      </w:r>
      <w:r w:rsidRPr="001853BC">
        <w:rPr>
          <w:color w:val="000000"/>
        </w:rPr>
        <w:t xml:space="preserve"> za dugoročne zajmove tuzemnim bankama i ostalim financijskim institucijama izvan javnog sektora</w:t>
      </w:r>
      <w:r>
        <w:rPr>
          <w:color w:val="000000"/>
        </w:rPr>
        <w:t xml:space="preserve">. Iznos od </w:t>
      </w:r>
      <w:r w:rsidRPr="007D6F67">
        <w:rPr>
          <w:color w:val="000000"/>
        </w:rPr>
        <w:t>240.247.476,25</w:t>
      </w:r>
      <w:r>
        <w:rPr>
          <w:color w:val="000000"/>
        </w:rPr>
        <w:t xml:space="preserve"> kuna odnosi se na obveze za kredite sveučilišta čiju otplatu vrši Ministarstvo financija. Naime, </w:t>
      </w:r>
      <w:r w:rsidRPr="007D6F67">
        <w:rPr>
          <w:color w:val="000000"/>
        </w:rPr>
        <w:t>Državni ured za reviziju u Izvješću o obavljenoj reviziji Godišnjeg izvještaja o izvršenju Državnog proračuna Republike Hrvatske za 2018. godinu naložio je Ministarstvu financija da obveze po kreditima sveučilišta evidentira u Glavnoj knjizi državnog proračuna te</w:t>
      </w:r>
      <w:r>
        <w:rPr>
          <w:color w:val="000000"/>
        </w:rPr>
        <w:t xml:space="preserve"> uključ</w:t>
      </w:r>
      <w:r w:rsidRPr="007D6F67">
        <w:rPr>
          <w:color w:val="000000"/>
        </w:rPr>
        <w:t xml:space="preserve">i u podatke o dugu državnog proračuna koji se iskazuju u godišnjim izvještajima o izvršenju </w:t>
      </w:r>
      <w:r w:rsidRPr="007D6F67">
        <w:rPr>
          <w:color w:val="000000"/>
        </w:rPr>
        <w:lastRenderedPageBreak/>
        <w:t>državnog proračuna</w:t>
      </w:r>
      <w:r>
        <w:rPr>
          <w:color w:val="000000"/>
        </w:rPr>
        <w:t xml:space="preserve">, a da ih </w:t>
      </w:r>
      <w:r w:rsidRPr="007D6F67">
        <w:rPr>
          <w:color w:val="000000"/>
        </w:rPr>
        <w:t>Minis</w:t>
      </w:r>
      <w:r>
        <w:rPr>
          <w:color w:val="000000"/>
        </w:rPr>
        <w:t xml:space="preserve">tarstvo znanosti i obrazovanja koje ih je do tada imalo bilančno evidentirano </w:t>
      </w:r>
      <w:proofErr w:type="spellStart"/>
      <w:r>
        <w:rPr>
          <w:color w:val="000000"/>
        </w:rPr>
        <w:t>isknjiži</w:t>
      </w:r>
      <w:proofErr w:type="spellEnd"/>
      <w:r w:rsidRPr="007D6F67">
        <w:rPr>
          <w:color w:val="000000"/>
        </w:rPr>
        <w:t xml:space="preserve"> iz</w:t>
      </w:r>
      <w:r>
        <w:rPr>
          <w:color w:val="000000"/>
        </w:rPr>
        <w:t xml:space="preserve"> svojih</w:t>
      </w:r>
      <w:r w:rsidRPr="007D6F67">
        <w:rPr>
          <w:color w:val="000000"/>
        </w:rPr>
        <w:t xml:space="preserve"> poslovnih knjiga. Slijedom navedenog Ministarstvo znanosti i obrazovanja s danom 31. prosinca 2019. </w:t>
      </w:r>
      <w:proofErr w:type="spellStart"/>
      <w:r w:rsidRPr="007D6F67">
        <w:rPr>
          <w:color w:val="000000"/>
        </w:rPr>
        <w:t>isknjiži</w:t>
      </w:r>
      <w:r>
        <w:rPr>
          <w:color w:val="000000"/>
        </w:rPr>
        <w:t>lo</w:t>
      </w:r>
      <w:proofErr w:type="spellEnd"/>
      <w:r>
        <w:rPr>
          <w:color w:val="000000"/>
        </w:rPr>
        <w:t xml:space="preserve"> je navedene </w:t>
      </w:r>
      <w:r w:rsidRPr="007D6F67">
        <w:rPr>
          <w:color w:val="000000"/>
        </w:rPr>
        <w:t>obv</w:t>
      </w:r>
      <w:r>
        <w:rPr>
          <w:color w:val="000000"/>
        </w:rPr>
        <w:t>eze iz svoje Glavne knjige te  ih nadalje vod</w:t>
      </w:r>
      <w:r w:rsidRPr="007D6F67">
        <w:rPr>
          <w:color w:val="000000"/>
        </w:rPr>
        <w:t xml:space="preserve">i </w:t>
      </w:r>
      <w:proofErr w:type="spellStart"/>
      <w:r w:rsidRPr="007D6F67">
        <w:rPr>
          <w:color w:val="000000"/>
        </w:rPr>
        <w:t>izvanbilančno</w:t>
      </w:r>
      <w:proofErr w:type="spellEnd"/>
      <w:r w:rsidRPr="007D6F67">
        <w:rPr>
          <w:color w:val="000000"/>
        </w:rPr>
        <w:t>, a d</w:t>
      </w:r>
      <w:r>
        <w:rPr>
          <w:color w:val="000000"/>
        </w:rPr>
        <w:t>o kraja otplate kredita zadržava</w:t>
      </w:r>
      <w:r w:rsidRPr="007D6F67">
        <w:rPr>
          <w:color w:val="000000"/>
        </w:rPr>
        <w:t xml:space="preserve"> </w:t>
      </w:r>
      <w:r>
        <w:rPr>
          <w:color w:val="000000"/>
        </w:rPr>
        <w:t xml:space="preserve">svu dokumentaciju vezanu uz kredite te Ministarstvu financija </w:t>
      </w:r>
      <w:r w:rsidRPr="007D6F67">
        <w:rPr>
          <w:color w:val="000000"/>
        </w:rPr>
        <w:t>dostavlja podatke o stanju predmetnih obveza po kreditima sveučilišta u Zagrebu, Splitu, Osijeku, Rijeci i Dubrovniku u skladu s nal</w:t>
      </w:r>
      <w:r>
        <w:rPr>
          <w:color w:val="000000"/>
        </w:rPr>
        <w:t xml:space="preserve">ogom Državnog ureda za reviziju, a koji se evidentiraju </w:t>
      </w:r>
      <w:r w:rsidRPr="007D6F67">
        <w:rPr>
          <w:color w:val="000000"/>
        </w:rPr>
        <w:t>u Gl</w:t>
      </w:r>
      <w:r>
        <w:rPr>
          <w:color w:val="000000"/>
        </w:rPr>
        <w:t>avnoj knjizi državnog proračuna.</w:t>
      </w:r>
    </w:p>
    <w:p w14:paraId="36234ED2" w14:textId="77777777" w:rsidR="00CF3957" w:rsidRDefault="00CF3957" w:rsidP="00CF3957">
      <w:pPr>
        <w:jc w:val="both"/>
        <w:rPr>
          <w:color w:val="000000"/>
        </w:rPr>
      </w:pPr>
    </w:p>
    <w:p w14:paraId="0393A25D" w14:textId="77777777" w:rsidR="00CF3957" w:rsidRPr="001853BC" w:rsidRDefault="00CF3957" w:rsidP="00CF3957">
      <w:pPr>
        <w:jc w:val="both"/>
        <w:rPr>
          <w:color w:val="000000"/>
        </w:rPr>
      </w:pPr>
      <w:r w:rsidRPr="001853BC">
        <w:rPr>
          <w:color w:val="000000"/>
        </w:rPr>
        <w:t xml:space="preserve">Analitika obveza </w:t>
      </w:r>
      <w:r>
        <w:rPr>
          <w:color w:val="000000"/>
        </w:rPr>
        <w:t xml:space="preserve">za </w:t>
      </w:r>
      <w:r w:rsidRPr="000C131B">
        <w:rPr>
          <w:color w:val="000000"/>
        </w:rPr>
        <w:t>kredite od tuzemnih financijskih institucija izvan javnog sektora</w:t>
      </w:r>
      <w:r w:rsidRPr="001853BC">
        <w:rPr>
          <w:color w:val="000000"/>
        </w:rPr>
        <w:t xml:space="preserve"> u iznosu od </w:t>
      </w:r>
      <w:r w:rsidRPr="000C131B">
        <w:rPr>
          <w:color w:val="000000"/>
        </w:rPr>
        <w:t>20.824.620.117,03</w:t>
      </w:r>
      <w:r>
        <w:rPr>
          <w:color w:val="000000"/>
        </w:rPr>
        <w:t xml:space="preserve"> kuna daje se u Tablici 12</w:t>
      </w:r>
      <w:r w:rsidRPr="001853BC">
        <w:rPr>
          <w:color w:val="000000"/>
        </w:rPr>
        <w:t>.</w:t>
      </w:r>
    </w:p>
    <w:p w14:paraId="51C8759E" w14:textId="77777777" w:rsidR="00CF3957" w:rsidRPr="001853BC" w:rsidRDefault="00CF3957" w:rsidP="00CF3957">
      <w:pPr>
        <w:keepNext/>
        <w:jc w:val="both"/>
        <w:rPr>
          <w:b/>
          <w:sz w:val="20"/>
          <w:szCs w:val="20"/>
        </w:rPr>
      </w:pPr>
      <w:r w:rsidRPr="001853BC">
        <w:rPr>
          <w:b/>
          <w:sz w:val="20"/>
          <w:szCs w:val="20"/>
        </w:rPr>
        <w:t>Tablica 12.</w:t>
      </w:r>
    </w:p>
    <w:tbl>
      <w:tblPr>
        <w:tblW w:w="9152" w:type="dxa"/>
        <w:tblLook w:val="04A0" w:firstRow="1" w:lastRow="0" w:firstColumn="1" w:lastColumn="0" w:noHBand="0" w:noVBand="1"/>
      </w:tblPr>
      <w:tblGrid>
        <w:gridCol w:w="562"/>
        <w:gridCol w:w="3196"/>
        <w:gridCol w:w="1185"/>
        <w:gridCol w:w="679"/>
        <w:gridCol w:w="1765"/>
        <w:gridCol w:w="1765"/>
      </w:tblGrid>
      <w:tr w:rsidR="00CF3957" w:rsidRPr="00EF6B62" w14:paraId="624B3ABE" w14:textId="77777777" w:rsidTr="001E71E3">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51235" w14:textId="77777777" w:rsidR="00CF3957" w:rsidRPr="00EF6B62" w:rsidRDefault="00CF3957" w:rsidP="001E71E3">
            <w:pPr>
              <w:keepNext/>
              <w:jc w:val="center"/>
              <w:rPr>
                <w:b/>
                <w:bCs/>
                <w:sz w:val="16"/>
                <w:szCs w:val="16"/>
              </w:rPr>
            </w:pPr>
            <w:r w:rsidRPr="00EF6B62">
              <w:rPr>
                <w:b/>
                <w:bCs/>
                <w:sz w:val="16"/>
                <w:szCs w:val="16"/>
              </w:rPr>
              <w:t>Red. broj</w:t>
            </w:r>
          </w:p>
        </w:tc>
        <w:tc>
          <w:tcPr>
            <w:tcW w:w="3196" w:type="dxa"/>
            <w:tcBorders>
              <w:top w:val="single" w:sz="4" w:space="0" w:color="auto"/>
              <w:left w:val="nil"/>
              <w:bottom w:val="single" w:sz="4" w:space="0" w:color="auto"/>
              <w:right w:val="single" w:sz="4" w:space="0" w:color="auto"/>
            </w:tcBorders>
            <w:shd w:val="clear" w:color="auto" w:fill="auto"/>
            <w:noWrap/>
            <w:vAlign w:val="center"/>
            <w:hideMark/>
          </w:tcPr>
          <w:p w14:paraId="64A82CA1" w14:textId="77777777" w:rsidR="00CF3957" w:rsidRPr="00EF6B62" w:rsidRDefault="00CF3957" w:rsidP="001E71E3">
            <w:pPr>
              <w:keepNext/>
              <w:jc w:val="center"/>
              <w:rPr>
                <w:b/>
                <w:bCs/>
                <w:sz w:val="16"/>
                <w:szCs w:val="16"/>
              </w:rPr>
            </w:pPr>
            <w:r w:rsidRPr="00EF6B62">
              <w:rPr>
                <w:b/>
                <w:bCs/>
                <w:sz w:val="16"/>
                <w:szCs w:val="16"/>
              </w:rPr>
              <w:t>Namjena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22C5113B" w14:textId="77777777" w:rsidR="00CF3957" w:rsidRPr="00EF6B62" w:rsidRDefault="00CF3957" w:rsidP="001E71E3">
            <w:pPr>
              <w:keepNext/>
              <w:jc w:val="center"/>
              <w:rPr>
                <w:b/>
                <w:bCs/>
                <w:sz w:val="16"/>
                <w:szCs w:val="16"/>
              </w:rPr>
            </w:pPr>
            <w:r w:rsidRPr="00EF6B62">
              <w:rPr>
                <w:b/>
                <w:bCs/>
                <w:sz w:val="16"/>
                <w:szCs w:val="16"/>
              </w:rPr>
              <w:t>Banka</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7D32B7C2" w14:textId="77777777" w:rsidR="00CF3957" w:rsidRPr="00EF6B62" w:rsidRDefault="00CF3957" w:rsidP="001E71E3">
            <w:pPr>
              <w:keepNext/>
              <w:jc w:val="center"/>
              <w:rPr>
                <w:b/>
                <w:bCs/>
                <w:sz w:val="16"/>
                <w:szCs w:val="16"/>
              </w:rPr>
            </w:pPr>
            <w:r w:rsidRPr="00EF6B62">
              <w:rPr>
                <w:b/>
                <w:bCs/>
                <w:sz w:val="16"/>
                <w:szCs w:val="16"/>
              </w:rPr>
              <w:t>Valuta</w:t>
            </w:r>
          </w:p>
        </w:tc>
        <w:tc>
          <w:tcPr>
            <w:tcW w:w="1765" w:type="dxa"/>
            <w:tcBorders>
              <w:top w:val="single" w:sz="4" w:space="0" w:color="auto"/>
              <w:left w:val="nil"/>
              <w:bottom w:val="nil"/>
              <w:right w:val="single" w:sz="4" w:space="0" w:color="auto"/>
            </w:tcBorders>
            <w:shd w:val="clear" w:color="auto" w:fill="auto"/>
            <w:vAlign w:val="center"/>
            <w:hideMark/>
          </w:tcPr>
          <w:p w14:paraId="1DC07794" w14:textId="77777777" w:rsidR="00CF3957" w:rsidRPr="00EF6B62" w:rsidRDefault="00CF3957" w:rsidP="001E71E3">
            <w:pPr>
              <w:keepNext/>
              <w:jc w:val="center"/>
              <w:rPr>
                <w:b/>
                <w:bCs/>
                <w:sz w:val="16"/>
                <w:szCs w:val="16"/>
              </w:rPr>
            </w:pPr>
            <w:r w:rsidRPr="00EF6B62">
              <w:rPr>
                <w:b/>
                <w:bCs/>
                <w:sz w:val="16"/>
                <w:szCs w:val="16"/>
              </w:rPr>
              <w:t>Stanje obveza na dan 31.12.2022. (</w:t>
            </w:r>
            <w:proofErr w:type="spellStart"/>
            <w:r w:rsidRPr="00EF6B62">
              <w:rPr>
                <w:b/>
                <w:bCs/>
                <w:sz w:val="16"/>
                <w:szCs w:val="16"/>
              </w:rPr>
              <w:t>org.val</w:t>
            </w:r>
            <w:proofErr w:type="spellEnd"/>
            <w:r w:rsidRPr="00EF6B62">
              <w:rPr>
                <w:b/>
                <w:bCs/>
                <w:sz w:val="16"/>
                <w:szCs w:val="16"/>
              </w:rPr>
              <w:t>.)</w:t>
            </w:r>
          </w:p>
        </w:tc>
        <w:tc>
          <w:tcPr>
            <w:tcW w:w="1765" w:type="dxa"/>
            <w:tcBorders>
              <w:top w:val="single" w:sz="4" w:space="0" w:color="auto"/>
              <w:left w:val="nil"/>
              <w:bottom w:val="nil"/>
              <w:right w:val="single" w:sz="4" w:space="0" w:color="auto"/>
            </w:tcBorders>
            <w:shd w:val="clear" w:color="auto" w:fill="auto"/>
            <w:vAlign w:val="center"/>
            <w:hideMark/>
          </w:tcPr>
          <w:p w14:paraId="7BB82408" w14:textId="77777777" w:rsidR="00CF3957" w:rsidRPr="00EF6B62" w:rsidRDefault="00CF3957" w:rsidP="001E71E3">
            <w:pPr>
              <w:keepNext/>
              <w:jc w:val="center"/>
              <w:rPr>
                <w:b/>
                <w:bCs/>
                <w:sz w:val="16"/>
                <w:szCs w:val="16"/>
              </w:rPr>
            </w:pPr>
            <w:r w:rsidRPr="00EF6B62">
              <w:rPr>
                <w:b/>
                <w:bCs/>
                <w:sz w:val="16"/>
                <w:szCs w:val="16"/>
              </w:rPr>
              <w:t>Stanje obveza na 31.12.2022. u kunama</w:t>
            </w:r>
          </w:p>
        </w:tc>
      </w:tr>
      <w:tr w:rsidR="00CF3957" w:rsidRPr="00EF6B62" w14:paraId="5162414F"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198454" w14:textId="77777777" w:rsidR="00CF3957" w:rsidRPr="00EF6B62" w:rsidRDefault="00CF3957" w:rsidP="001E71E3">
            <w:pPr>
              <w:keepNext/>
              <w:jc w:val="center"/>
              <w:rPr>
                <w:sz w:val="16"/>
                <w:szCs w:val="16"/>
              </w:rPr>
            </w:pPr>
            <w:r w:rsidRPr="00EF6B62">
              <w:rPr>
                <w:sz w:val="16"/>
                <w:szCs w:val="16"/>
              </w:rPr>
              <w:t>1.</w:t>
            </w:r>
          </w:p>
        </w:tc>
        <w:tc>
          <w:tcPr>
            <w:tcW w:w="3196" w:type="dxa"/>
            <w:tcBorders>
              <w:top w:val="nil"/>
              <w:left w:val="nil"/>
              <w:bottom w:val="single" w:sz="4" w:space="0" w:color="auto"/>
              <w:right w:val="single" w:sz="4" w:space="0" w:color="auto"/>
            </w:tcBorders>
            <w:shd w:val="clear" w:color="auto" w:fill="auto"/>
            <w:noWrap/>
            <w:vAlign w:val="bottom"/>
            <w:hideMark/>
          </w:tcPr>
          <w:p w14:paraId="1CF68DA5" w14:textId="77777777" w:rsidR="00CF3957" w:rsidRPr="00EF6B62" w:rsidRDefault="00CF3957" w:rsidP="001E71E3">
            <w:pPr>
              <w:keepNext/>
              <w:rPr>
                <w:sz w:val="16"/>
                <w:szCs w:val="16"/>
              </w:rPr>
            </w:pPr>
            <w:r w:rsidRPr="00EF6B62">
              <w:rPr>
                <w:sz w:val="16"/>
                <w:szCs w:val="16"/>
              </w:rPr>
              <w:t>KBC 2007 (HRK 572,8) F-022-07</w:t>
            </w:r>
          </w:p>
        </w:tc>
        <w:tc>
          <w:tcPr>
            <w:tcW w:w="1185" w:type="dxa"/>
            <w:tcBorders>
              <w:top w:val="nil"/>
              <w:left w:val="nil"/>
              <w:bottom w:val="single" w:sz="4" w:space="0" w:color="auto"/>
              <w:right w:val="single" w:sz="4" w:space="0" w:color="auto"/>
            </w:tcBorders>
            <w:shd w:val="clear" w:color="auto" w:fill="auto"/>
            <w:noWrap/>
            <w:vAlign w:val="bottom"/>
            <w:hideMark/>
          </w:tcPr>
          <w:p w14:paraId="39A4A19F" w14:textId="77777777" w:rsidR="00CF3957" w:rsidRPr="00EF6B62" w:rsidRDefault="00CF3957" w:rsidP="001E71E3">
            <w:pPr>
              <w:keepNext/>
              <w:jc w:val="center"/>
              <w:rPr>
                <w:sz w:val="16"/>
                <w:szCs w:val="16"/>
              </w:rPr>
            </w:pPr>
            <w:r w:rsidRPr="00EF6B62">
              <w:rPr>
                <w:sz w:val="16"/>
                <w:szCs w:val="16"/>
              </w:rPr>
              <w:t>PBZ</w:t>
            </w:r>
          </w:p>
        </w:tc>
        <w:tc>
          <w:tcPr>
            <w:tcW w:w="679" w:type="dxa"/>
            <w:tcBorders>
              <w:top w:val="nil"/>
              <w:left w:val="nil"/>
              <w:bottom w:val="single" w:sz="4" w:space="0" w:color="auto"/>
              <w:right w:val="single" w:sz="4" w:space="0" w:color="auto"/>
            </w:tcBorders>
            <w:shd w:val="clear" w:color="auto" w:fill="auto"/>
            <w:noWrap/>
            <w:vAlign w:val="bottom"/>
            <w:hideMark/>
          </w:tcPr>
          <w:p w14:paraId="7BD930D1"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5632BCE2" w14:textId="77777777" w:rsidR="00CF3957" w:rsidRPr="00EF6B62" w:rsidRDefault="00CF3957" w:rsidP="001E71E3">
            <w:pPr>
              <w:keepNext/>
              <w:jc w:val="right"/>
              <w:rPr>
                <w:sz w:val="16"/>
                <w:szCs w:val="16"/>
              </w:rPr>
            </w:pPr>
            <w:r w:rsidRPr="00EF6B62">
              <w:rPr>
                <w:sz w:val="16"/>
                <w:szCs w:val="16"/>
              </w:rPr>
              <w:t>166.314.085,</w:t>
            </w:r>
            <w:r>
              <w:rPr>
                <w:sz w:val="16"/>
                <w:szCs w:val="16"/>
              </w:rPr>
              <w:t>76</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738506C9" w14:textId="77777777" w:rsidR="00CF3957" w:rsidRPr="00EF6B62" w:rsidRDefault="00CF3957" w:rsidP="001E71E3">
            <w:pPr>
              <w:keepNext/>
              <w:jc w:val="right"/>
              <w:rPr>
                <w:sz w:val="16"/>
                <w:szCs w:val="16"/>
              </w:rPr>
            </w:pPr>
            <w:r w:rsidRPr="00EF6B62">
              <w:rPr>
                <w:sz w:val="16"/>
                <w:szCs w:val="16"/>
              </w:rPr>
              <w:t>166.314.085,</w:t>
            </w:r>
            <w:r>
              <w:rPr>
                <w:sz w:val="16"/>
                <w:szCs w:val="16"/>
              </w:rPr>
              <w:t>76</w:t>
            </w:r>
          </w:p>
        </w:tc>
      </w:tr>
      <w:tr w:rsidR="00CF3957" w:rsidRPr="00EF6B62" w14:paraId="7B98B34E"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7049F1" w14:textId="77777777" w:rsidR="00CF3957" w:rsidRPr="00EF6B62" w:rsidRDefault="00CF3957" w:rsidP="001E71E3">
            <w:pPr>
              <w:keepNext/>
              <w:jc w:val="center"/>
              <w:rPr>
                <w:sz w:val="16"/>
                <w:szCs w:val="16"/>
              </w:rPr>
            </w:pPr>
            <w:r w:rsidRPr="00EF6B62">
              <w:rPr>
                <w:sz w:val="16"/>
                <w:szCs w:val="16"/>
              </w:rPr>
              <w:t>3.</w:t>
            </w:r>
          </w:p>
        </w:tc>
        <w:tc>
          <w:tcPr>
            <w:tcW w:w="3196" w:type="dxa"/>
            <w:tcBorders>
              <w:top w:val="nil"/>
              <w:left w:val="nil"/>
              <w:bottom w:val="nil"/>
              <w:right w:val="single" w:sz="4" w:space="0" w:color="auto"/>
            </w:tcBorders>
            <w:shd w:val="clear" w:color="auto" w:fill="auto"/>
            <w:noWrap/>
            <w:vAlign w:val="bottom"/>
            <w:hideMark/>
          </w:tcPr>
          <w:p w14:paraId="0BD17F04" w14:textId="77777777" w:rsidR="00CF3957" w:rsidRPr="00EF6B62" w:rsidRDefault="00CF3957" w:rsidP="001E71E3">
            <w:pPr>
              <w:keepNext/>
              <w:rPr>
                <w:sz w:val="16"/>
                <w:szCs w:val="16"/>
              </w:rPr>
            </w:pPr>
            <w:r w:rsidRPr="00EF6B62">
              <w:rPr>
                <w:sz w:val="16"/>
                <w:szCs w:val="16"/>
              </w:rPr>
              <w:t>HŽ Infrastruktura F-011-13 preuzeto 2015.</w:t>
            </w:r>
          </w:p>
        </w:tc>
        <w:tc>
          <w:tcPr>
            <w:tcW w:w="1185" w:type="dxa"/>
            <w:tcBorders>
              <w:top w:val="nil"/>
              <w:left w:val="nil"/>
              <w:bottom w:val="nil"/>
              <w:right w:val="single" w:sz="4" w:space="0" w:color="auto"/>
            </w:tcBorders>
            <w:shd w:val="clear" w:color="auto" w:fill="auto"/>
            <w:noWrap/>
            <w:vAlign w:val="bottom"/>
            <w:hideMark/>
          </w:tcPr>
          <w:p w14:paraId="7F027578" w14:textId="77777777" w:rsidR="00CF3957" w:rsidRPr="00EF6B62" w:rsidRDefault="00CF3957" w:rsidP="001E71E3">
            <w:pPr>
              <w:keepNext/>
              <w:jc w:val="center"/>
              <w:rPr>
                <w:sz w:val="16"/>
                <w:szCs w:val="16"/>
              </w:rPr>
            </w:pPr>
            <w:r w:rsidRPr="00EF6B62">
              <w:rPr>
                <w:sz w:val="16"/>
                <w:szCs w:val="16"/>
              </w:rPr>
              <w:t xml:space="preserve">Erste </w:t>
            </w:r>
            <w:proofErr w:type="spellStart"/>
            <w:r w:rsidRPr="00EF6B62">
              <w:rPr>
                <w:sz w:val="16"/>
                <w:szCs w:val="16"/>
              </w:rPr>
              <w:t>bank</w:t>
            </w:r>
            <w:proofErr w:type="spellEnd"/>
            <w:r w:rsidRPr="00EF6B62">
              <w:rPr>
                <w:sz w:val="16"/>
                <w:szCs w:val="16"/>
              </w:rPr>
              <w:t xml:space="preserve"> </w:t>
            </w:r>
          </w:p>
        </w:tc>
        <w:tc>
          <w:tcPr>
            <w:tcW w:w="679" w:type="dxa"/>
            <w:tcBorders>
              <w:top w:val="nil"/>
              <w:left w:val="nil"/>
              <w:bottom w:val="nil"/>
              <w:right w:val="single" w:sz="4" w:space="0" w:color="auto"/>
            </w:tcBorders>
            <w:shd w:val="clear" w:color="auto" w:fill="auto"/>
            <w:noWrap/>
            <w:vAlign w:val="bottom"/>
            <w:hideMark/>
          </w:tcPr>
          <w:p w14:paraId="1C618591"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nil"/>
              <w:left w:val="nil"/>
              <w:bottom w:val="nil"/>
              <w:right w:val="single" w:sz="4" w:space="0" w:color="auto"/>
            </w:tcBorders>
            <w:shd w:val="clear" w:color="auto" w:fill="auto"/>
            <w:noWrap/>
            <w:vAlign w:val="bottom"/>
            <w:hideMark/>
          </w:tcPr>
          <w:p w14:paraId="644DC0A6" w14:textId="77777777" w:rsidR="00CF3957" w:rsidRPr="00EF6B62" w:rsidRDefault="00CF3957" w:rsidP="001E71E3">
            <w:pPr>
              <w:keepNext/>
              <w:jc w:val="right"/>
              <w:rPr>
                <w:sz w:val="16"/>
                <w:szCs w:val="16"/>
              </w:rPr>
            </w:pPr>
            <w:r w:rsidRPr="00EF6B62">
              <w:rPr>
                <w:sz w:val="16"/>
                <w:szCs w:val="16"/>
              </w:rPr>
              <w:t>15.517.046,58</w:t>
            </w:r>
          </w:p>
        </w:tc>
        <w:tc>
          <w:tcPr>
            <w:tcW w:w="1765" w:type="dxa"/>
            <w:tcBorders>
              <w:top w:val="nil"/>
              <w:left w:val="nil"/>
              <w:bottom w:val="single" w:sz="4" w:space="0" w:color="auto"/>
              <w:right w:val="single" w:sz="4" w:space="0" w:color="auto"/>
            </w:tcBorders>
            <w:shd w:val="clear" w:color="auto" w:fill="auto"/>
            <w:noWrap/>
            <w:vAlign w:val="bottom"/>
            <w:hideMark/>
          </w:tcPr>
          <w:p w14:paraId="15E48A42" w14:textId="77777777" w:rsidR="00CF3957" w:rsidRPr="00EF6B62" w:rsidRDefault="00CF3957" w:rsidP="001E71E3">
            <w:pPr>
              <w:keepNext/>
              <w:jc w:val="right"/>
              <w:rPr>
                <w:sz w:val="16"/>
                <w:szCs w:val="16"/>
              </w:rPr>
            </w:pPr>
            <w:r w:rsidRPr="00EF6B62">
              <w:rPr>
                <w:sz w:val="16"/>
                <w:szCs w:val="16"/>
              </w:rPr>
              <w:t>116.913.187,46</w:t>
            </w:r>
          </w:p>
        </w:tc>
      </w:tr>
      <w:tr w:rsidR="00CF3957" w:rsidRPr="00EF6B62" w14:paraId="68456CA1"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23B36B" w14:textId="77777777" w:rsidR="00CF3957" w:rsidRPr="00EF6B62" w:rsidRDefault="00CF3957" w:rsidP="001E71E3">
            <w:pPr>
              <w:keepNext/>
              <w:jc w:val="center"/>
              <w:rPr>
                <w:sz w:val="16"/>
                <w:szCs w:val="16"/>
              </w:rPr>
            </w:pPr>
            <w:r w:rsidRPr="00EF6B62">
              <w:rPr>
                <w:sz w:val="16"/>
                <w:szCs w:val="16"/>
              </w:rPr>
              <w:t>4.</w:t>
            </w:r>
          </w:p>
        </w:tc>
        <w:tc>
          <w:tcPr>
            <w:tcW w:w="3196" w:type="dxa"/>
            <w:tcBorders>
              <w:top w:val="single" w:sz="4" w:space="0" w:color="auto"/>
              <w:left w:val="nil"/>
              <w:bottom w:val="nil"/>
              <w:right w:val="single" w:sz="4" w:space="0" w:color="auto"/>
            </w:tcBorders>
            <w:shd w:val="clear" w:color="auto" w:fill="auto"/>
            <w:noWrap/>
            <w:vAlign w:val="bottom"/>
            <w:hideMark/>
          </w:tcPr>
          <w:p w14:paraId="70A6E1EA" w14:textId="77777777" w:rsidR="00CF3957" w:rsidRPr="00EF6B62" w:rsidRDefault="00CF3957" w:rsidP="001E71E3">
            <w:pPr>
              <w:keepNext/>
              <w:rPr>
                <w:sz w:val="16"/>
                <w:szCs w:val="16"/>
              </w:rPr>
            </w:pPr>
            <w:r w:rsidRPr="00EF6B62">
              <w:rPr>
                <w:sz w:val="16"/>
                <w:szCs w:val="16"/>
              </w:rPr>
              <w:t>HŽ Putnički prijevoz F-009-13 preuzeto 2015.</w:t>
            </w:r>
          </w:p>
        </w:tc>
        <w:tc>
          <w:tcPr>
            <w:tcW w:w="1185" w:type="dxa"/>
            <w:tcBorders>
              <w:top w:val="single" w:sz="4" w:space="0" w:color="auto"/>
              <w:left w:val="nil"/>
              <w:bottom w:val="nil"/>
              <w:right w:val="single" w:sz="4" w:space="0" w:color="auto"/>
            </w:tcBorders>
            <w:shd w:val="clear" w:color="auto" w:fill="auto"/>
            <w:noWrap/>
            <w:vAlign w:val="bottom"/>
            <w:hideMark/>
          </w:tcPr>
          <w:p w14:paraId="4D35CA3D" w14:textId="77777777" w:rsidR="00CF3957" w:rsidRPr="00EF6B62" w:rsidRDefault="00CF3957" w:rsidP="001E71E3">
            <w:pPr>
              <w:keepNext/>
              <w:jc w:val="center"/>
              <w:rPr>
                <w:sz w:val="16"/>
                <w:szCs w:val="16"/>
              </w:rPr>
            </w:pPr>
            <w:r w:rsidRPr="00EF6B62">
              <w:rPr>
                <w:sz w:val="16"/>
                <w:szCs w:val="16"/>
              </w:rPr>
              <w:t>PBZ</w:t>
            </w:r>
          </w:p>
        </w:tc>
        <w:tc>
          <w:tcPr>
            <w:tcW w:w="679" w:type="dxa"/>
            <w:tcBorders>
              <w:top w:val="single" w:sz="4" w:space="0" w:color="auto"/>
              <w:left w:val="nil"/>
              <w:bottom w:val="nil"/>
              <w:right w:val="single" w:sz="4" w:space="0" w:color="auto"/>
            </w:tcBorders>
            <w:shd w:val="clear" w:color="auto" w:fill="auto"/>
            <w:noWrap/>
            <w:vAlign w:val="bottom"/>
            <w:hideMark/>
          </w:tcPr>
          <w:p w14:paraId="239C664C"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single" w:sz="4" w:space="0" w:color="auto"/>
              <w:left w:val="nil"/>
              <w:bottom w:val="nil"/>
              <w:right w:val="single" w:sz="4" w:space="0" w:color="auto"/>
            </w:tcBorders>
            <w:shd w:val="clear" w:color="auto" w:fill="auto"/>
            <w:noWrap/>
            <w:vAlign w:val="bottom"/>
            <w:hideMark/>
          </w:tcPr>
          <w:p w14:paraId="420D26CF" w14:textId="77777777" w:rsidR="00CF3957" w:rsidRPr="00EF6B62" w:rsidRDefault="00CF3957" w:rsidP="001E71E3">
            <w:pPr>
              <w:keepNext/>
              <w:jc w:val="right"/>
              <w:rPr>
                <w:sz w:val="16"/>
                <w:szCs w:val="16"/>
              </w:rPr>
            </w:pPr>
            <w:r w:rsidRPr="00EF6B62">
              <w:rPr>
                <w:sz w:val="16"/>
                <w:szCs w:val="16"/>
              </w:rPr>
              <w:t>7.077.976,04</w:t>
            </w:r>
          </w:p>
        </w:tc>
        <w:tc>
          <w:tcPr>
            <w:tcW w:w="1765" w:type="dxa"/>
            <w:tcBorders>
              <w:top w:val="nil"/>
              <w:left w:val="nil"/>
              <w:bottom w:val="single" w:sz="4" w:space="0" w:color="auto"/>
              <w:right w:val="single" w:sz="4" w:space="0" w:color="auto"/>
            </w:tcBorders>
            <w:shd w:val="clear" w:color="auto" w:fill="auto"/>
            <w:noWrap/>
            <w:vAlign w:val="bottom"/>
            <w:hideMark/>
          </w:tcPr>
          <w:p w14:paraId="0D96ABB1" w14:textId="77777777" w:rsidR="00CF3957" w:rsidRPr="00EF6B62" w:rsidRDefault="00CF3957" w:rsidP="001E71E3">
            <w:pPr>
              <w:keepNext/>
              <w:jc w:val="right"/>
              <w:rPr>
                <w:sz w:val="16"/>
                <w:szCs w:val="16"/>
              </w:rPr>
            </w:pPr>
            <w:r w:rsidRPr="00EF6B62">
              <w:rPr>
                <w:sz w:val="16"/>
                <w:szCs w:val="16"/>
              </w:rPr>
              <w:t>53.329.010,47</w:t>
            </w:r>
          </w:p>
        </w:tc>
      </w:tr>
      <w:tr w:rsidR="00CF3957" w:rsidRPr="00EF6B62" w14:paraId="43BFDF5A"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6559B1" w14:textId="77777777" w:rsidR="00CF3957" w:rsidRPr="00EF6B62" w:rsidRDefault="00CF3957" w:rsidP="001E71E3">
            <w:pPr>
              <w:keepNext/>
              <w:jc w:val="center"/>
              <w:rPr>
                <w:sz w:val="16"/>
                <w:szCs w:val="16"/>
              </w:rPr>
            </w:pPr>
            <w:r w:rsidRPr="00EF6B62">
              <w:rPr>
                <w:sz w:val="16"/>
                <w:szCs w:val="16"/>
              </w:rPr>
              <w:t>6.</w:t>
            </w:r>
          </w:p>
        </w:tc>
        <w:tc>
          <w:tcPr>
            <w:tcW w:w="3196" w:type="dxa"/>
            <w:tcBorders>
              <w:top w:val="single" w:sz="4" w:space="0" w:color="auto"/>
              <w:left w:val="nil"/>
              <w:bottom w:val="nil"/>
              <w:right w:val="single" w:sz="4" w:space="0" w:color="auto"/>
            </w:tcBorders>
            <w:shd w:val="clear" w:color="auto" w:fill="auto"/>
            <w:noWrap/>
            <w:vAlign w:val="bottom"/>
            <w:hideMark/>
          </w:tcPr>
          <w:p w14:paraId="2D2EC926" w14:textId="77777777" w:rsidR="00CF3957" w:rsidRPr="00EF6B62" w:rsidRDefault="00CF3957" w:rsidP="001E71E3">
            <w:pPr>
              <w:keepNext/>
              <w:rPr>
                <w:sz w:val="16"/>
                <w:szCs w:val="16"/>
              </w:rPr>
            </w:pPr>
            <w:r w:rsidRPr="00EF6B62">
              <w:rPr>
                <w:sz w:val="16"/>
                <w:szCs w:val="16"/>
              </w:rPr>
              <w:t xml:space="preserve">ZABA HRK 1 </w:t>
            </w:r>
            <w:proofErr w:type="spellStart"/>
            <w:r w:rsidRPr="00EF6B62">
              <w:rPr>
                <w:sz w:val="16"/>
                <w:szCs w:val="16"/>
              </w:rPr>
              <w:t>mlrd</w:t>
            </w:r>
            <w:proofErr w:type="spellEnd"/>
            <w:r w:rsidRPr="00EF6B62">
              <w:rPr>
                <w:sz w:val="16"/>
                <w:szCs w:val="16"/>
              </w:rPr>
              <w:t>. D-2023</w:t>
            </w:r>
          </w:p>
        </w:tc>
        <w:tc>
          <w:tcPr>
            <w:tcW w:w="1185" w:type="dxa"/>
            <w:tcBorders>
              <w:top w:val="single" w:sz="4" w:space="0" w:color="auto"/>
              <w:left w:val="nil"/>
              <w:bottom w:val="nil"/>
              <w:right w:val="single" w:sz="4" w:space="0" w:color="auto"/>
            </w:tcBorders>
            <w:shd w:val="clear" w:color="auto" w:fill="auto"/>
            <w:noWrap/>
            <w:vAlign w:val="bottom"/>
            <w:hideMark/>
          </w:tcPr>
          <w:p w14:paraId="76E77538" w14:textId="77777777" w:rsidR="00CF3957" w:rsidRPr="00EF6B62" w:rsidRDefault="00CF3957" w:rsidP="001E71E3">
            <w:pPr>
              <w:keepNext/>
              <w:jc w:val="center"/>
              <w:rPr>
                <w:sz w:val="16"/>
                <w:szCs w:val="16"/>
              </w:rPr>
            </w:pPr>
            <w:r w:rsidRPr="00EF6B62">
              <w:rPr>
                <w:sz w:val="16"/>
                <w:szCs w:val="16"/>
              </w:rPr>
              <w:t>ZABA</w:t>
            </w:r>
          </w:p>
        </w:tc>
        <w:tc>
          <w:tcPr>
            <w:tcW w:w="679" w:type="dxa"/>
            <w:tcBorders>
              <w:top w:val="single" w:sz="4" w:space="0" w:color="auto"/>
              <w:left w:val="nil"/>
              <w:bottom w:val="nil"/>
              <w:right w:val="single" w:sz="4" w:space="0" w:color="auto"/>
            </w:tcBorders>
            <w:shd w:val="clear" w:color="auto" w:fill="auto"/>
            <w:noWrap/>
            <w:vAlign w:val="bottom"/>
            <w:hideMark/>
          </w:tcPr>
          <w:p w14:paraId="2888CAF3"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single" w:sz="4" w:space="0" w:color="auto"/>
              <w:left w:val="nil"/>
              <w:bottom w:val="nil"/>
              <w:right w:val="single" w:sz="4" w:space="0" w:color="auto"/>
            </w:tcBorders>
            <w:shd w:val="clear" w:color="auto" w:fill="auto"/>
            <w:noWrap/>
            <w:vAlign w:val="bottom"/>
            <w:hideMark/>
          </w:tcPr>
          <w:p w14:paraId="22DE8B72" w14:textId="77777777" w:rsidR="00CF3957" w:rsidRPr="00EF6B62" w:rsidRDefault="00CF3957" w:rsidP="001E71E3">
            <w:pPr>
              <w:keepNext/>
              <w:jc w:val="right"/>
              <w:rPr>
                <w:sz w:val="16"/>
                <w:szCs w:val="16"/>
              </w:rPr>
            </w:pPr>
            <w:r w:rsidRPr="00EF6B62">
              <w:rPr>
                <w:sz w:val="16"/>
                <w:szCs w:val="16"/>
              </w:rPr>
              <w:t>100.000.000,00</w:t>
            </w:r>
          </w:p>
        </w:tc>
        <w:tc>
          <w:tcPr>
            <w:tcW w:w="1765" w:type="dxa"/>
            <w:tcBorders>
              <w:top w:val="nil"/>
              <w:left w:val="nil"/>
              <w:bottom w:val="single" w:sz="4" w:space="0" w:color="auto"/>
              <w:right w:val="single" w:sz="4" w:space="0" w:color="auto"/>
            </w:tcBorders>
            <w:shd w:val="clear" w:color="auto" w:fill="auto"/>
            <w:noWrap/>
            <w:vAlign w:val="bottom"/>
            <w:hideMark/>
          </w:tcPr>
          <w:p w14:paraId="4E984C9C" w14:textId="77777777" w:rsidR="00CF3957" w:rsidRPr="00EF6B62" w:rsidRDefault="00CF3957" w:rsidP="001E71E3">
            <w:pPr>
              <w:keepNext/>
              <w:jc w:val="right"/>
              <w:rPr>
                <w:sz w:val="16"/>
                <w:szCs w:val="16"/>
              </w:rPr>
            </w:pPr>
            <w:r w:rsidRPr="00EF6B62">
              <w:rPr>
                <w:sz w:val="16"/>
                <w:szCs w:val="16"/>
              </w:rPr>
              <w:t>100.000.000,00</w:t>
            </w:r>
          </w:p>
        </w:tc>
      </w:tr>
      <w:tr w:rsidR="00CF3957" w:rsidRPr="00EF6B62" w14:paraId="5FDF51F8"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E86201" w14:textId="77777777" w:rsidR="00CF3957" w:rsidRPr="00EF6B62" w:rsidRDefault="00CF3957" w:rsidP="001E71E3">
            <w:pPr>
              <w:keepNext/>
              <w:jc w:val="center"/>
              <w:rPr>
                <w:sz w:val="16"/>
                <w:szCs w:val="16"/>
              </w:rPr>
            </w:pPr>
            <w:r w:rsidRPr="00EF6B62">
              <w:rPr>
                <w:sz w:val="16"/>
                <w:szCs w:val="16"/>
              </w:rPr>
              <w:t>7.</w:t>
            </w:r>
          </w:p>
        </w:tc>
        <w:tc>
          <w:tcPr>
            <w:tcW w:w="3196" w:type="dxa"/>
            <w:tcBorders>
              <w:top w:val="single" w:sz="4" w:space="0" w:color="auto"/>
              <w:left w:val="nil"/>
              <w:bottom w:val="single" w:sz="4" w:space="0" w:color="auto"/>
              <w:right w:val="single" w:sz="4" w:space="0" w:color="auto"/>
            </w:tcBorders>
            <w:shd w:val="clear" w:color="auto" w:fill="auto"/>
            <w:noWrap/>
            <w:vAlign w:val="bottom"/>
            <w:hideMark/>
          </w:tcPr>
          <w:p w14:paraId="18047FD5" w14:textId="77777777" w:rsidR="00CF3957" w:rsidRPr="00EF6B62" w:rsidRDefault="00CF3957" w:rsidP="001E71E3">
            <w:pPr>
              <w:keepNext/>
              <w:rPr>
                <w:sz w:val="16"/>
                <w:szCs w:val="16"/>
              </w:rPr>
            </w:pPr>
            <w:r w:rsidRPr="00EF6B62">
              <w:rPr>
                <w:sz w:val="16"/>
                <w:szCs w:val="16"/>
              </w:rPr>
              <w:t xml:space="preserve">ERSTE EUR 150 </w:t>
            </w:r>
            <w:proofErr w:type="spellStart"/>
            <w:r w:rsidRPr="00EF6B62">
              <w:rPr>
                <w:sz w:val="16"/>
                <w:szCs w:val="16"/>
              </w:rPr>
              <w:t>mil</w:t>
            </w:r>
            <w:proofErr w:type="spellEnd"/>
            <w:r w:rsidRPr="00EF6B62">
              <w:rPr>
                <w:sz w:val="16"/>
                <w:szCs w:val="16"/>
              </w:rPr>
              <w:t>. 2018 D-2023</w:t>
            </w:r>
          </w:p>
        </w:tc>
        <w:tc>
          <w:tcPr>
            <w:tcW w:w="1185" w:type="dxa"/>
            <w:tcBorders>
              <w:top w:val="single" w:sz="4" w:space="0" w:color="auto"/>
              <w:left w:val="nil"/>
              <w:bottom w:val="nil"/>
              <w:right w:val="single" w:sz="4" w:space="0" w:color="auto"/>
            </w:tcBorders>
            <w:shd w:val="clear" w:color="auto" w:fill="auto"/>
            <w:noWrap/>
            <w:vAlign w:val="bottom"/>
            <w:hideMark/>
          </w:tcPr>
          <w:p w14:paraId="7FA8BC15" w14:textId="77777777" w:rsidR="00CF3957" w:rsidRPr="00EF6B62" w:rsidRDefault="00CF3957" w:rsidP="001E71E3">
            <w:pPr>
              <w:keepNext/>
              <w:jc w:val="center"/>
              <w:rPr>
                <w:sz w:val="16"/>
                <w:szCs w:val="16"/>
              </w:rPr>
            </w:pPr>
            <w:r w:rsidRPr="00EF6B62">
              <w:rPr>
                <w:sz w:val="16"/>
                <w:szCs w:val="16"/>
              </w:rPr>
              <w:t xml:space="preserve">Erste </w:t>
            </w:r>
            <w:proofErr w:type="spellStart"/>
            <w:r w:rsidRPr="00EF6B62">
              <w:rPr>
                <w:sz w:val="16"/>
                <w:szCs w:val="16"/>
              </w:rPr>
              <w:t>bank</w:t>
            </w:r>
            <w:proofErr w:type="spellEnd"/>
            <w:r w:rsidRPr="00EF6B62">
              <w:rPr>
                <w:sz w:val="16"/>
                <w:szCs w:val="16"/>
              </w:rPr>
              <w:t xml:space="preserve"> </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07446A31"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66AA9751" w14:textId="77777777" w:rsidR="00CF3957" w:rsidRPr="00EF6B62" w:rsidRDefault="00CF3957" w:rsidP="001E71E3">
            <w:pPr>
              <w:keepNext/>
              <w:jc w:val="right"/>
              <w:rPr>
                <w:sz w:val="16"/>
                <w:szCs w:val="16"/>
              </w:rPr>
            </w:pPr>
            <w:r w:rsidRPr="00EF6B62">
              <w:rPr>
                <w:sz w:val="16"/>
                <w:szCs w:val="16"/>
              </w:rPr>
              <w:t>30.000.000,00</w:t>
            </w:r>
          </w:p>
        </w:tc>
        <w:tc>
          <w:tcPr>
            <w:tcW w:w="1765" w:type="dxa"/>
            <w:tcBorders>
              <w:top w:val="nil"/>
              <w:left w:val="nil"/>
              <w:bottom w:val="single" w:sz="4" w:space="0" w:color="auto"/>
              <w:right w:val="single" w:sz="4" w:space="0" w:color="auto"/>
            </w:tcBorders>
            <w:shd w:val="clear" w:color="auto" w:fill="auto"/>
            <w:noWrap/>
            <w:vAlign w:val="bottom"/>
            <w:hideMark/>
          </w:tcPr>
          <w:p w14:paraId="397BDD23" w14:textId="77777777" w:rsidR="00CF3957" w:rsidRPr="00EF6B62" w:rsidRDefault="00CF3957" w:rsidP="001E71E3">
            <w:pPr>
              <w:keepNext/>
              <w:jc w:val="right"/>
              <w:rPr>
                <w:sz w:val="16"/>
                <w:szCs w:val="16"/>
              </w:rPr>
            </w:pPr>
            <w:r w:rsidRPr="00EF6B62">
              <w:rPr>
                <w:sz w:val="16"/>
                <w:szCs w:val="16"/>
              </w:rPr>
              <w:t>226.035.000,00</w:t>
            </w:r>
          </w:p>
        </w:tc>
      </w:tr>
      <w:tr w:rsidR="00CF3957" w:rsidRPr="00EF6B62" w14:paraId="2EA1800D"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587129" w14:textId="77777777" w:rsidR="00CF3957" w:rsidRPr="00EF6B62" w:rsidRDefault="00CF3957" w:rsidP="001E71E3">
            <w:pPr>
              <w:keepNext/>
              <w:jc w:val="center"/>
              <w:rPr>
                <w:sz w:val="16"/>
                <w:szCs w:val="16"/>
              </w:rPr>
            </w:pPr>
            <w:r w:rsidRPr="00EF6B62">
              <w:rPr>
                <w:sz w:val="16"/>
                <w:szCs w:val="16"/>
              </w:rPr>
              <w:t>8.</w:t>
            </w:r>
          </w:p>
        </w:tc>
        <w:tc>
          <w:tcPr>
            <w:tcW w:w="3196" w:type="dxa"/>
            <w:tcBorders>
              <w:top w:val="nil"/>
              <w:left w:val="nil"/>
              <w:bottom w:val="single" w:sz="4" w:space="0" w:color="auto"/>
              <w:right w:val="single" w:sz="4" w:space="0" w:color="auto"/>
            </w:tcBorders>
            <w:shd w:val="clear" w:color="auto" w:fill="auto"/>
            <w:noWrap/>
            <w:vAlign w:val="bottom"/>
            <w:hideMark/>
          </w:tcPr>
          <w:p w14:paraId="7CF9F21B" w14:textId="77777777" w:rsidR="00CF3957" w:rsidRPr="00EF6B62" w:rsidRDefault="00CF3957" w:rsidP="001E71E3">
            <w:pPr>
              <w:keepNext/>
              <w:rPr>
                <w:sz w:val="16"/>
                <w:szCs w:val="16"/>
              </w:rPr>
            </w:pPr>
            <w:r w:rsidRPr="00EF6B62">
              <w:rPr>
                <w:sz w:val="16"/>
                <w:szCs w:val="16"/>
              </w:rPr>
              <w:t xml:space="preserve">PBZ EUR 100 </w:t>
            </w:r>
            <w:proofErr w:type="spellStart"/>
            <w:r w:rsidRPr="00EF6B62">
              <w:rPr>
                <w:sz w:val="16"/>
                <w:szCs w:val="16"/>
              </w:rPr>
              <w:t>mil</w:t>
            </w:r>
            <w:proofErr w:type="spellEnd"/>
            <w:r w:rsidRPr="00EF6B62">
              <w:rPr>
                <w:sz w:val="16"/>
                <w:szCs w:val="16"/>
              </w:rPr>
              <w:t>. 2018</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1BC9E933" w14:textId="77777777" w:rsidR="00CF3957" w:rsidRPr="00EF6B62" w:rsidRDefault="00CF3957" w:rsidP="001E71E3">
            <w:pPr>
              <w:keepNext/>
              <w:jc w:val="center"/>
              <w:rPr>
                <w:sz w:val="16"/>
                <w:szCs w:val="16"/>
              </w:rPr>
            </w:pPr>
            <w:r w:rsidRPr="00EF6B62">
              <w:rPr>
                <w:sz w:val="16"/>
                <w:szCs w:val="16"/>
              </w:rPr>
              <w:t>PBZ</w:t>
            </w:r>
          </w:p>
        </w:tc>
        <w:tc>
          <w:tcPr>
            <w:tcW w:w="679" w:type="dxa"/>
            <w:tcBorders>
              <w:top w:val="nil"/>
              <w:left w:val="nil"/>
              <w:bottom w:val="single" w:sz="4" w:space="0" w:color="auto"/>
              <w:right w:val="single" w:sz="4" w:space="0" w:color="auto"/>
            </w:tcBorders>
            <w:shd w:val="clear" w:color="auto" w:fill="auto"/>
            <w:noWrap/>
            <w:vAlign w:val="bottom"/>
            <w:hideMark/>
          </w:tcPr>
          <w:p w14:paraId="2C0418E1"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nil"/>
              <w:left w:val="nil"/>
              <w:bottom w:val="single" w:sz="4" w:space="0" w:color="auto"/>
              <w:right w:val="single" w:sz="4" w:space="0" w:color="auto"/>
            </w:tcBorders>
            <w:shd w:val="clear" w:color="auto" w:fill="auto"/>
            <w:noWrap/>
            <w:vAlign w:val="bottom"/>
            <w:hideMark/>
          </w:tcPr>
          <w:p w14:paraId="343B30ED" w14:textId="77777777" w:rsidR="00CF3957" w:rsidRPr="00EF6B62" w:rsidRDefault="00CF3957" w:rsidP="001E71E3">
            <w:pPr>
              <w:keepNext/>
              <w:jc w:val="right"/>
              <w:rPr>
                <w:sz w:val="16"/>
                <w:szCs w:val="16"/>
              </w:rPr>
            </w:pPr>
            <w:r w:rsidRPr="00EF6B62">
              <w:rPr>
                <w:sz w:val="16"/>
                <w:szCs w:val="16"/>
              </w:rPr>
              <w:t>65.000.000,00</w:t>
            </w:r>
          </w:p>
        </w:tc>
        <w:tc>
          <w:tcPr>
            <w:tcW w:w="1765" w:type="dxa"/>
            <w:tcBorders>
              <w:top w:val="nil"/>
              <w:left w:val="nil"/>
              <w:bottom w:val="single" w:sz="4" w:space="0" w:color="auto"/>
              <w:right w:val="single" w:sz="4" w:space="0" w:color="auto"/>
            </w:tcBorders>
            <w:shd w:val="clear" w:color="auto" w:fill="auto"/>
            <w:noWrap/>
            <w:vAlign w:val="bottom"/>
            <w:hideMark/>
          </w:tcPr>
          <w:p w14:paraId="5DD0CEFC" w14:textId="77777777" w:rsidR="00CF3957" w:rsidRPr="00EF6B62" w:rsidRDefault="00CF3957" w:rsidP="001E71E3">
            <w:pPr>
              <w:keepNext/>
              <w:jc w:val="right"/>
              <w:rPr>
                <w:sz w:val="16"/>
                <w:szCs w:val="16"/>
              </w:rPr>
            </w:pPr>
            <w:r w:rsidRPr="00EF6B62">
              <w:rPr>
                <w:sz w:val="16"/>
                <w:szCs w:val="16"/>
              </w:rPr>
              <w:t>489.742.500,00</w:t>
            </w:r>
          </w:p>
        </w:tc>
      </w:tr>
      <w:tr w:rsidR="00CF3957" w:rsidRPr="00EF6B62" w14:paraId="1CEFA9D0"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BA38C9" w14:textId="77777777" w:rsidR="00CF3957" w:rsidRPr="00EF6B62" w:rsidRDefault="00CF3957" w:rsidP="001E71E3">
            <w:pPr>
              <w:keepNext/>
              <w:jc w:val="center"/>
              <w:rPr>
                <w:sz w:val="16"/>
                <w:szCs w:val="16"/>
              </w:rPr>
            </w:pPr>
            <w:r w:rsidRPr="00EF6B62">
              <w:rPr>
                <w:sz w:val="16"/>
                <w:szCs w:val="16"/>
              </w:rPr>
              <w:t>9.</w:t>
            </w:r>
          </w:p>
        </w:tc>
        <w:tc>
          <w:tcPr>
            <w:tcW w:w="3196" w:type="dxa"/>
            <w:tcBorders>
              <w:top w:val="nil"/>
              <w:left w:val="nil"/>
              <w:bottom w:val="single" w:sz="4" w:space="0" w:color="auto"/>
              <w:right w:val="single" w:sz="4" w:space="0" w:color="auto"/>
            </w:tcBorders>
            <w:shd w:val="clear" w:color="auto" w:fill="auto"/>
            <w:noWrap/>
            <w:vAlign w:val="bottom"/>
            <w:hideMark/>
          </w:tcPr>
          <w:p w14:paraId="77212420" w14:textId="77777777" w:rsidR="00CF3957" w:rsidRPr="00EF6B62" w:rsidRDefault="00CF3957" w:rsidP="001E71E3">
            <w:pPr>
              <w:keepNext/>
              <w:rPr>
                <w:sz w:val="16"/>
                <w:szCs w:val="16"/>
              </w:rPr>
            </w:pPr>
            <w:r w:rsidRPr="00EF6B62">
              <w:rPr>
                <w:sz w:val="16"/>
                <w:szCs w:val="16"/>
              </w:rPr>
              <w:t xml:space="preserve">Splitska banka EUR 120 </w:t>
            </w:r>
            <w:proofErr w:type="spellStart"/>
            <w:r w:rsidRPr="00EF6B62">
              <w:rPr>
                <w:sz w:val="16"/>
                <w:szCs w:val="16"/>
              </w:rPr>
              <w:t>mil</w:t>
            </w:r>
            <w:proofErr w:type="spellEnd"/>
            <w:r w:rsidRPr="00EF6B62">
              <w:rPr>
                <w:sz w:val="16"/>
                <w:szCs w:val="16"/>
              </w:rPr>
              <w:t>. D-2023</w:t>
            </w:r>
          </w:p>
        </w:tc>
        <w:tc>
          <w:tcPr>
            <w:tcW w:w="1185" w:type="dxa"/>
            <w:tcBorders>
              <w:top w:val="nil"/>
              <w:left w:val="nil"/>
              <w:bottom w:val="single" w:sz="4" w:space="0" w:color="auto"/>
              <w:right w:val="single" w:sz="4" w:space="0" w:color="auto"/>
            </w:tcBorders>
            <w:shd w:val="clear" w:color="auto" w:fill="auto"/>
            <w:noWrap/>
            <w:vAlign w:val="bottom"/>
            <w:hideMark/>
          </w:tcPr>
          <w:p w14:paraId="4D73C6CD" w14:textId="77777777" w:rsidR="00CF3957" w:rsidRPr="00EF6B62" w:rsidRDefault="00CF3957" w:rsidP="001E71E3">
            <w:pPr>
              <w:keepNext/>
              <w:jc w:val="center"/>
              <w:rPr>
                <w:sz w:val="16"/>
                <w:szCs w:val="16"/>
              </w:rPr>
            </w:pPr>
            <w:r w:rsidRPr="00EF6B62">
              <w:rPr>
                <w:sz w:val="16"/>
                <w:szCs w:val="16"/>
              </w:rPr>
              <w:t>SGS</w:t>
            </w:r>
          </w:p>
        </w:tc>
        <w:tc>
          <w:tcPr>
            <w:tcW w:w="679" w:type="dxa"/>
            <w:tcBorders>
              <w:top w:val="nil"/>
              <w:left w:val="nil"/>
              <w:bottom w:val="single" w:sz="4" w:space="0" w:color="auto"/>
              <w:right w:val="single" w:sz="4" w:space="0" w:color="auto"/>
            </w:tcBorders>
            <w:shd w:val="clear" w:color="auto" w:fill="auto"/>
            <w:noWrap/>
            <w:vAlign w:val="bottom"/>
            <w:hideMark/>
          </w:tcPr>
          <w:p w14:paraId="6D9E84F4"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nil"/>
              <w:left w:val="nil"/>
              <w:bottom w:val="single" w:sz="4" w:space="0" w:color="auto"/>
              <w:right w:val="single" w:sz="4" w:space="0" w:color="auto"/>
            </w:tcBorders>
            <w:shd w:val="clear" w:color="auto" w:fill="auto"/>
            <w:noWrap/>
            <w:vAlign w:val="bottom"/>
            <w:hideMark/>
          </w:tcPr>
          <w:p w14:paraId="755F86B7" w14:textId="77777777" w:rsidR="00CF3957" w:rsidRPr="00EF6B62" w:rsidRDefault="00CF3957" w:rsidP="001E71E3">
            <w:pPr>
              <w:keepNext/>
              <w:jc w:val="right"/>
              <w:rPr>
                <w:sz w:val="16"/>
                <w:szCs w:val="16"/>
              </w:rPr>
            </w:pPr>
            <w:r w:rsidRPr="00EF6B62">
              <w:rPr>
                <w:sz w:val="16"/>
                <w:szCs w:val="16"/>
              </w:rPr>
              <w:t>120.000.000,00</w:t>
            </w:r>
          </w:p>
        </w:tc>
        <w:tc>
          <w:tcPr>
            <w:tcW w:w="1765" w:type="dxa"/>
            <w:tcBorders>
              <w:top w:val="nil"/>
              <w:left w:val="nil"/>
              <w:bottom w:val="single" w:sz="4" w:space="0" w:color="auto"/>
              <w:right w:val="single" w:sz="4" w:space="0" w:color="auto"/>
            </w:tcBorders>
            <w:shd w:val="clear" w:color="auto" w:fill="auto"/>
            <w:noWrap/>
            <w:vAlign w:val="bottom"/>
            <w:hideMark/>
          </w:tcPr>
          <w:p w14:paraId="6CC000E8" w14:textId="77777777" w:rsidR="00CF3957" w:rsidRPr="00EF6B62" w:rsidRDefault="00CF3957" w:rsidP="001E71E3">
            <w:pPr>
              <w:keepNext/>
              <w:jc w:val="right"/>
              <w:rPr>
                <w:sz w:val="16"/>
                <w:szCs w:val="16"/>
              </w:rPr>
            </w:pPr>
            <w:r w:rsidRPr="00EF6B62">
              <w:rPr>
                <w:sz w:val="16"/>
                <w:szCs w:val="16"/>
              </w:rPr>
              <w:t>904.140.000,00</w:t>
            </w:r>
          </w:p>
        </w:tc>
      </w:tr>
      <w:tr w:rsidR="00CF3957" w:rsidRPr="00EF6B62" w14:paraId="6A88B6FA"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5248D6" w14:textId="77777777" w:rsidR="00CF3957" w:rsidRPr="00EF6B62" w:rsidRDefault="00CF3957" w:rsidP="001E71E3">
            <w:pPr>
              <w:keepNext/>
              <w:jc w:val="center"/>
              <w:rPr>
                <w:sz w:val="16"/>
                <w:szCs w:val="16"/>
              </w:rPr>
            </w:pPr>
            <w:r w:rsidRPr="00EF6B62">
              <w:rPr>
                <w:sz w:val="16"/>
                <w:szCs w:val="16"/>
              </w:rPr>
              <w:t>10.</w:t>
            </w:r>
          </w:p>
        </w:tc>
        <w:tc>
          <w:tcPr>
            <w:tcW w:w="3196" w:type="dxa"/>
            <w:tcBorders>
              <w:top w:val="nil"/>
              <w:left w:val="nil"/>
              <w:bottom w:val="single" w:sz="4" w:space="0" w:color="auto"/>
              <w:right w:val="single" w:sz="4" w:space="0" w:color="auto"/>
            </w:tcBorders>
            <w:shd w:val="clear" w:color="auto" w:fill="auto"/>
            <w:noWrap/>
            <w:vAlign w:val="bottom"/>
            <w:hideMark/>
          </w:tcPr>
          <w:p w14:paraId="3CC0FD07" w14:textId="77777777" w:rsidR="00CF3957" w:rsidRPr="00EF6B62" w:rsidRDefault="00CF3957" w:rsidP="001E71E3">
            <w:pPr>
              <w:keepNext/>
              <w:rPr>
                <w:sz w:val="16"/>
                <w:szCs w:val="16"/>
              </w:rPr>
            </w:pPr>
            <w:r w:rsidRPr="00EF6B62">
              <w:rPr>
                <w:sz w:val="16"/>
                <w:szCs w:val="16"/>
              </w:rPr>
              <w:t xml:space="preserve">ZABA EUR 200 </w:t>
            </w:r>
            <w:proofErr w:type="spellStart"/>
            <w:r w:rsidRPr="00EF6B62">
              <w:rPr>
                <w:sz w:val="16"/>
                <w:szCs w:val="16"/>
              </w:rPr>
              <w:t>mil</w:t>
            </w:r>
            <w:proofErr w:type="spellEnd"/>
            <w:r w:rsidRPr="00EF6B62">
              <w:rPr>
                <w:sz w:val="16"/>
                <w:szCs w:val="16"/>
              </w:rPr>
              <w:t>. D-2023</w:t>
            </w:r>
          </w:p>
        </w:tc>
        <w:tc>
          <w:tcPr>
            <w:tcW w:w="1185" w:type="dxa"/>
            <w:tcBorders>
              <w:top w:val="nil"/>
              <w:left w:val="nil"/>
              <w:bottom w:val="single" w:sz="4" w:space="0" w:color="auto"/>
              <w:right w:val="single" w:sz="4" w:space="0" w:color="auto"/>
            </w:tcBorders>
            <w:shd w:val="clear" w:color="auto" w:fill="auto"/>
            <w:noWrap/>
            <w:vAlign w:val="bottom"/>
            <w:hideMark/>
          </w:tcPr>
          <w:p w14:paraId="52B7D3BA" w14:textId="77777777" w:rsidR="00CF3957" w:rsidRPr="00EF6B62" w:rsidRDefault="00CF3957" w:rsidP="001E71E3">
            <w:pPr>
              <w:keepNext/>
              <w:jc w:val="center"/>
              <w:rPr>
                <w:sz w:val="16"/>
                <w:szCs w:val="16"/>
              </w:rPr>
            </w:pPr>
            <w:r w:rsidRPr="00EF6B62">
              <w:rPr>
                <w:sz w:val="16"/>
                <w:szCs w:val="16"/>
              </w:rPr>
              <w:t>ZABA</w:t>
            </w:r>
          </w:p>
        </w:tc>
        <w:tc>
          <w:tcPr>
            <w:tcW w:w="679" w:type="dxa"/>
            <w:tcBorders>
              <w:top w:val="nil"/>
              <w:left w:val="nil"/>
              <w:bottom w:val="single" w:sz="4" w:space="0" w:color="auto"/>
              <w:right w:val="single" w:sz="4" w:space="0" w:color="auto"/>
            </w:tcBorders>
            <w:shd w:val="clear" w:color="auto" w:fill="auto"/>
            <w:noWrap/>
            <w:vAlign w:val="bottom"/>
            <w:hideMark/>
          </w:tcPr>
          <w:p w14:paraId="71426CC5"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nil"/>
              <w:left w:val="nil"/>
              <w:bottom w:val="single" w:sz="4" w:space="0" w:color="auto"/>
              <w:right w:val="single" w:sz="4" w:space="0" w:color="auto"/>
            </w:tcBorders>
            <w:shd w:val="clear" w:color="auto" w:fill="auto"/>
            <w:noWrap/>
            <w:vAlign w:val="bottom"/>
            <w:hideMark/>
          </w:tcPr>
          <w:p w14:paraId="1C53B87B" w14:textId="77777777" w:rsidR="00CF3957" w:rsidRPr="00EF6B62" w:rsidRDefault="00CF3957" w:rsidP="001E71E3">
            <w:pPr>
              <w:keepNext/>
              <w:jc w:val="right"/>
              <w:rPr>
                <w:sz w:val="16"/>
                <w:szCs w:val="16"/>
              </w:rPr>
            </w:pPr>
            <w:r w:rsidRPr="00EF6B62">
              <w:rPr>
                <w:sz w:val="16"/>
                <w:szCs w:val="16"/>
              </w:rPr>
              <w:t>200.000.000,00</w:t>
            </w:r>
          </w:p>
        </w:tc>
        <w:tc>
          <w:tcPr>
            <w:tcW w:w="1765" w:type="dxa"/>
            <w:tcBorders>
              <w:top w:val="nil"/>
              <w:left w:val="nil"/>
              <w:bottom w:val="single" w:sz="4" w:space="0" w:color="auto"/>
              <w:right w:val="single" w:sz="4" w:space="0" w:color="auto"/>
            </w:tcBorders>
            <w:shd w:val="clear" w:color="auto" w:fill="auto"/>
            <w:noWrap/>
            <w:vAlign w:val="bottom"/>
            <w:hideMark/>
          </w:tcPr>
          <w:p w14:paraId="52D90459" w14:textId="77777777" w:rsidR="00CF3957" w:rsidRPr="00EF6B62" w:rsidRDefault="00CF3957" w:rsidP="001E71E3">
            <w:pPr>
              <w:keepNext/>
              <w:jc w:val="right"/>
              <w:rPr>
                <w:sz w:val="16"/>
                <w:szCs w:val="16"/>
              </w:rPr>
            </w:pPr>
            <w:r w:rsidRPr="00EF6B62">
              <w:rPr>
                <w:sz w:val="16"/>
                <w:szCs w:val="16"/>
              </w:rPr>
              <w:t>1.506.900.000,00</w:t>
            </w:r>
          </w:p>
        </w:tc>
      </w:tr>
      <w:tr w:rsidR="00CF3957" w:rsidRPr="00EF6B62" w14:paraId="7C2DC4B6"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E07D33" w14:textId="77777777" w:rsidR="00CF3957" w:rsidRPr="00EF6B62" w:rsidRDefault="00CF3957" w:rsidP="001E71E3">
            <w:pPr>
              <w:keepNext/>
              <w:jc w:val="center"/>
              <w:rPr>
                <w:sz w:val="16"/>
                <w:szCs w:val="16"/>
              </w:rPr>
            </w:pPr>
            <w:r w:rsidRPr="00EF6B62">
              <w:rPr>
                <w:sz w:val="16"/>
                <w:szCs w:val="16"/>
              </w:rPr>
              <w:t>14.</w:t>
            </w:r>
          </w:p>
        </w:tc>
        <w:tc>
          <w:tcPr>
            <w:tcW w:w="3196" w:type="dxa"/>
            <w:tcBorders>
              <w:top w:val="nil"/>
              <w:left w:val="nil"/>
              <w:bottom w:val="nil"/>
              <w:right w:val="single" w:sz="4" w:space="0" w:color="auto"/>
            </w:tcBorders>
            <w:shd w:val="clear" w:color="auto" w:fill="auto"/>
            <w:noWrap/>
            <w:vAlign w:val="bottom"/>
            <w:hideMark/>
          </w:tcPr>
          <w:p w14:paraId="542FC1FA" w14:textId="77777777" w:rsidR="00CF3957" w:rsidRPr="00EF6B62" w:rsidRDefault="00CF3957" w:rsidP="001E71E3">
            <w:pPr>
              <w:keepNext/>
              <w:rPr>
                <w:sz w:val="16"/>
                <w:szCs w:val="16"/>
              </w:rPr>
            </w:pPr>
            <w:r w:rsidRPr="00EF6B62">
              <w:rPr>
                <w:sz w:val="16"/>
                <w:szCs w:val="16"/>
              </w:rPr>
              <w:t xml:space="preserve">ERSTE HRK 1,8 </w:t>
            </w:r>
            <w:proofErr w:type="spellStart"/>
            <w:r w:rsidRPr="00EF6B62">
              <w:rPr>
                <w:sz w:val="16"/>
                <w:szCs w:val="16"/>
              </w:rPr>
              <w:t>mlrd</w:t>
            </w:r>
            <w:proofErr w:type="spellEnd"/>
            <w:r w:rsidRPr="00EF6B62">
              <w:rPr>
                <w:sz w:val="16"/>
                <w:szCs w:val="16"/>
              </w:rPr>
              <w:t>. D 2025</w:t>
            </w:r>
          </w:p>
        </w:tc>
        <w:tc>
          <w:tcPr>
            <w:tcW w:w="1185" w:type="dxa"/>
            <w:tcBorders>
              <w:top w:val="nil"/>
              <w:left w:val="nil"/>
              <w:bottom w:val="nil"/>
              <w:right w:val="single" w:sz="4" w:space="0" w:color="auto"/>
            </w:tcBorders>
            <w:shd w:val="clear" w:color="auto" w:fill="auto"/>
            <w:noWrap/>
            <w:vAlign w:val="bottom"/>
            <w:hideMark/>
          </w:tcPr>
          <w:p w14:paraId="4731735B" w14:textId="77777777" w:rsidR="00CF3957" w:rsidRPr="00EF6B62" w:rsidRDefault="00CF3957" w:rsidP="001E71E3">
            <w:pPr>
              <w:keepNext/>
              <w:jc w:val="center"/>
              <w:rPr>
                <w:sz w:val="16"/>
                <w:szCs w:val="16"/>
              </w:rPr>
            </w:pPr>
            <w:r w:rsidRPr="00EF6B62">
              <w:rPr>
                <w:sz w:val="16"/>
                <w:szCs w:val="16"/>
              </w:rPr>
              <w:t xml:space="preserve">Erste </w:t>
            </w:r>
            <w:proofErr w:type="spellStart"/>
            <w:r w:rsidRPr="00EF6B62">
              <w:rPr>
                <w:sz w:val="16"/>
                <w:szCs w:val="16"/>
              </w:rPr>
              <w:t>bank</w:t>
            </w:r>
            <w:proofErr w:type="spellEnd"/>
            <w:r w:rsidRPr="00EF6B62">
              <w:rPr>
                <w:sz w:val="16"/>
                <w:szCs w:val="16"/>
              </w:rPr>
              <w:t xml:space="preserve"> </w:t>
            </w:r>
          </w:p>
        </w:tc>
        <w:tc>
          <w:tcPr>
            <w:tcW w:w="679" w:type="dxa"/>
            <w:tcBorders>
              <w:top w:val="nil"/>
              <w:left w:val="nil"/>
              <w:bottom w:val="nil"/>
              <w:right w:val="single" w:sz="4" w:space="0" w:color="auto"/>
            </w:tcBorders>
            <w:shd w:val="clear" w:color="auto" w:fill="auto"/>
            <w:noWrap/>
            <w:vAlign w:val="bottom"/>
            <w:hideMark/>
          </w:tcPr>
          <w:p w14:paraId="4F23343D"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nil"/>
              <w:left w:val="nil"/>
              <w:bottom w:val="nil"/>
              <w:right w:val="single" w:sz="4" w:space="0" w:color="auto"/>
            </w:tcBorders>
            <w:shd w:val="clear" w:color="auto" w:fill="auto"/>
            <w:noWrap/>
            <w:vAlign w:val="bottom"/>
            <w:hideMark/>
          </w:tcPr>
          <w:p w14:paraId="1497DB42" w14:textId="77777777" w:rsidR="00CF3957" w:rsidRPr="00EF6B62" w:rsidRDefault="00CF3957" w:rsidP="001E71E3">
            <w:pPr>
              <w:keepNext/>
              <w:jc w:val="right"/>
              <w:rPr>
                <w:sz w:val="16"/>
                <w:szCs w:val="16"/>
              </w:rPr>
            </w:pPr>
            <w:r w:rsidRPr="00EF6B62">
              <w:rPr>
                <w:sz w:val="16"/>
                <w:szCs w:val="16"/>
              </w:rPr>
              <w:t>1.800.000.000,00</w:t>
            </w:r>
          </w:p>
        </w:tc>
        <w:tc>
          <w:tcPr>
            <w:tcW w:w="1765" w:type="dxa"/>
            <w:tcBorders>
              <w:top w:val="nil"/>
              <w:left w:val="nil"/>
              <w:bottom w:val="single" w:sz="4" w:space="0" w:color="auto"/>
              <w:right w:val="single" w:sz="4" w:space="0" w:color="auto"/>
            </w:tcBorders>
            <w:shd w:val="clear" w:color="auto" w:fill="auto"/>
            <w:noWrap/>
            <w:vAlign w:val="bottom"/>
            <w:hideMark/>
          </w:tcPr>
          <w:p w14:paraId="20C33750" w14:textId="77777777" w:rsidR="00CF3957" w:rsidRPr="00EF6B62" w:rsidRDefault="00CF3957" w:rsidP="001E71E3">
            <w:pPr>
              <w:keepNext/>
              <w:jc w:val="right"/>
              <w:rPr>
                <w:sz w:val="16"/>
                <w:szCs w:val="16"/>
              </w:rPr>
            </w:pPr>
            <w:r w:rsidRPr="00EF6B62">
              <w:rPr>
                <w:sz w:val="16"/>
                <w:szCs w:val="16"/>
              </w:rPr>
              <w:t>1.800.000.000,00</w:t>
            </w:r>
          </w:p>
        </w:tc>
      </w:tr>
      <w:tr w:rsidR="00CF3957" w:rsidRPr="00EF6B62" w14:paraId="0DCED028"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E0735B" w14:textId="77777777" w:rsidR="00CF3957" w:rsidRPr="00EF6B62" w:rsidRDefault="00CF3957" w:rsidP="001E71E3">
            <w:pPr>
              <w:keepNext/>
              <w:jc w:val="center"/>
              <w:rPr>
                <w:sz w:val="16"/>
                <w:szCs w:val="16"/>
              </w:rPr>
            </w:pPr>
            <w:r w:rsidRPr="00EF6B62">
              <w:rPr>
                <w:sz w:val="16"/>
                <w:szCs w:val="16"/>
              </w:rPr>
              <w:t>15.</w:t>
            </w:r>
          </w:p>
        </w:tc>
        <w:tc>
          <w:tcPr>
            <w:tcW w:w="3196" w:type="dxa"/>
            <w:tcBorders>
              <w:top w:val="single" w:sz="4" w:space="0" w:color="auto"/>
              <w:left w:val="nil"/>
              <w:bottom w:val="single" w:sz="4" w:space="0" w:color="auto"/>
              <w:right w:val="single" w:sz="4" w:space="0" w:color="auto"/>
            </w:tcBorders>
            <w:shd w:val="clear" w:color="auto" w:fill="auto"/>
            <w:noWrap/>
            <w:vAlign w:val="bottom"/>
            <w:hideMark/>
          </w:tcPr>
          <w:p w14:paraId="77B619A3" w14:textId="77777777" w:rsidR="00CF3957" w:rsidRPr="00EF6B62" w:rsidRDefault="00CF3957" w:rsidP="001E71E3">
            <w:pPr>
              <w:keepNext/>
              <w:rPr>
                <w:sz w:val="16"/>
                <w:szCs w:val="16"/>
              </w:rPr>
            </w:pPr>
            <w:r w:rsidRPr="00EF6B62">
              <w:rPr>
                <w:sz w:val="16"/>
                <w:szCs w:val="16"/>
              </w:rPr>
              <w:t xml:space="preserve">OTP HRK 700 </w:t>
            </w:r>
            <w:proofErr w:type="spellStart"/>
            <w:r w:rsidRPr="00EF6B62">
              <w:rPr>
                <w:sz w:val="16"/>
                <w:szCs w:val="16"/>
              </w:rPr>
              <w:t>mil</w:t>
            </w:r>
            <w:proofErr w:type="spellEnd"/>
            <w:r w:rsidRPr="00EF6B62">
              <w:rPr>
                <w:sz w:val="16"/>
                <w:szCs w:val="16"/>
              </w:rPr>
              <w:t>. D-2023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2002692C" w14:textId="77777777" w:rsidR="00CF3957" w:rsidRPr="00EF6B62" w:rsidRDefault="00CF3957" w:rsidP="001E71E3">
            <w:pPr>
              <w:keepNext/>
              <w:jc w:val="center"/>
              <w:rPr>
                <w:sz w:val="16"/>
                <w:szCs w:val="16"/>
              </w:rPr>
            </w:pPr>
            <w:r w:rsidRPr="00EF6B62">
              <w:rPr>
                <w:sz w:val="16"/>
                <w:szCs w:val="16"/>
              </w:rPr>
              <w:t>OTP banka</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17897735"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0FAEE4E7" w14:textId="77777777" w:rsidR="00CF3957" w:rsidRPr="00EF6B62" w:rsidRDefault="00CF3957" w:rsidP="001E71E3">
            <w:pPr>
              <w:keepNext/>
              <w:jc w:val="right"/>
              <w:rPr>
                <w:sz w:val="16"/>
                <w:szCs w:val="16"/>
              </w:rPr>
            </w:pPr>
            <w:r w:rsidRPr="00EF6B62">
              <w:rPr>
                <w:sz w:val="16"/>
                <w:szCs w:val="16"/>
              </w:rPr>
              <w:t>233.333.333,34</w:t>
            </w:r>
          </w:p>
        </w:tc>
        <w:tc>
          <w:tcPr>
            <w:tcW w:w="1765" w:type="dxa"/>
            <w:tcBorders>
              <w:top w:val="nil"/>
              <w:left w:val="nil"/>
              <w:bottom w:val="single" w:sz="4" w:space="0" w:color="auto"/>
              <w:right w:val="single" w:sz="4" w:space="0" w:color="auto"/>
            </w:tcBorders>
            <w:shd w:val="clear" w:color="auto" w:fill="auto"/>
            <w:noWrap/>
            <w:vAlign w:val="bottom"/>
            <w:hideMark/>
          </w:tcPr>
          <w:p w14:paraId="439031AF" w14:textId="77777777" w:rsidR="00CF3957" w:rsidRPr="00EF6B62" w:rsidRDefault="00CF3957" w:rsidP="001E71E3">
            <w:pPr>
              <w:keepNext/>
              <w:jc w:val="right"/>
              <w:rPr>
                <w:sz w:val="16"/>
                <w:szCs w:val="16"/>
              </w:rPr>
            </w:pPr>
            <w:r w:rsidRPr="00EF6B62">
              <w:rPr>
                <w:sz w:val="16"/>
                <w:szCs w:val="16"/>
              </w:rPr>
              <w:t>233.333.333,34</w:t>
            </w:r>
          </w:p>
        </w:tc>
      </w:tr>
      <w:tr w:rsidR="00CF3957" w:rsidRPr="00EF6B62" w14:paraId="652C07FD"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14503E" w14:textId="77777777" w:rsidR="00CF3957" w:rsidRPr="00EF6B62" w:rsidRDefault="00CF3957" w:rsidP="001E71E3">
            <w:pPr>
              <w:keepNext/>
              <w:jc w:val="center"/>
              <w:rPr>
                <w:sz w:val="16"/>
                <w:szCs w:val="16"/>
              </w:rPr>
            </w:pPr>
            <w:r w:rsidRPr="00EF6B62">
              <w:rPr>
                <w:sz w:val="16"/>
                <w:szCs w:val="16"/>
              </w:rPr>
              <w:t>16.</w:t>
            </w:r>
          </w:p>
        </w:tc>
        <w:tc>
          <w:tcPr>
            <w:tcW w:w="3196" w:type="dxa"/>
            <w:tcBorders>
              <w:top w:val="nil"/>
              <w:left w:val="nil"/>
              <w:bottom w:val="single" w:sz="4" w:space="0" w:color="auto"/>
              <w:right w:val="single" w:sz="4" w:space="0" w:color="auto"/>
            </w:tcBorders>
            <w:shd w:val="clear" w:color="auto" w:fill="auto"/>
            <w:noWrap/>
            <w:vAlign w:val="bottom"/>
            <w:hideMark/>
          </w:tcPr>
          <w:p w14:paraId="70573FD3" w14:textId="77777777" w:rsidR="00CF3957" w:rsidRPr="00EF6B62" w:rsidRDefault="00CF3957" w:rsidP="001E71E3">
            <w:pPr>
              <w:keepNext/>
              <w:rPr>
                <w:sz w:val="16"/>
                <w:szCs w:val="16"/>
              </w:rPr>
            </w:pPr>
            <w:r w:rsidRPr="00EF6B62">
              <w:rPr>
                <w:sz w:val="16"/>
                <w:szCs w:val="16"/>
              </w:rPr>
              <w:t xml:space="preserve">OTP HRK 800 </w:t>
            </w:r>
            <w:proofErr w:type="spellStart"/>
            <w:r w:rsidRPr="00EF6B62">
              <w:rPr>
                <w:sz w:val="16"/>
                <w:szCs w:val="16"/>
              </w:rPr>
              <w:t>mil</w:t>
            </w:r>
            <w:proofErr w:type="spellEnd"/>
            <w:r w:rsidRPr="00EF6B62">
              <w:rPr>
                <w:sz w:val="16"/>
                <w:szCs w:val="16"/>
              </w:rPr>
              <w:t>. D-2025</w:t>
            </w:r>
          </w:p>
        </w:tc>
        <w:tc>
          <w:tcPr>
            <w:tcW w:w="1185" w:type="dxa"/>
            <w:tcBorders>
              <w:top w:val="nil"/>
              <w:left w:val="nil"/>
              <w:bottom w:val="single" w:sz="4" w:space="0" w:color="auto"/>
              <w:right w:val="single" w:sz="4" w:space="0" w:color="auto"/>
            </w:tcBorders>
            <w:shd w:val="clear" w:color="auto" w:fill="auto"/>
            <w:noWrap/>
            <w:vAlign w:val="bottom"/>
            <w:hideMark/>
          </w:tcPr>
          <w:p w14:paraId="5E3871AB" w14:textId="77777777" w:rsidR="00CF3957" w:rsidRPr="00EF6B62" w:rsidRDefault="00CF3957" w:rsidP="001E71E3">
            <w:pPr>
              <w:keepNext/>
              <w:jc w:val="center"/>
              <w:rPr>
                <w:sz w:val="16"/>
                <w:szCs w:val="16"/>
              </w:rPr>
            </w:pPr>
            <w:r w:rsidRPr="00EF6B62">
              <w:rPr>
                <w:sz w:val="16"/>
                <w:szCs w:val="16"/>
              </w:rPr>
              <w:t>OTP banka</w:t>
            </w:r>
          </w:p>
        </w:tc>
        <w:tc>
          <w:tcPr>
            <w:tcW w:w="679" w:type="dxa"/>
            <w:tcBorders>
              <w:top w:val="nil"/>
              <w:left w:val="nil"/>
              <w:bottom w:val="single" w:sz="4" w:space="0" w:color="auto"/>
              <w:right w:val="single" w:sz="4" w:space="0" w:color="auto"/>
            </w:tcBorders>
            <w:shd w:val="clear" w:color="auto" w:fill="auto"/>
            <w:noWrap/>
            <w:vAlign w:val="bottom"/>
            <w:hideMark/>
          </w:tcPr>
          <w:p w14:paraId="366D9C3E"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nil"/>
              <w:left w:val="nil"/>
              <w:bottom w:val="single" w:sz="4" w:space="0" w:color="auto"/>
              <w:right w:val="single" w:sz="4" w:space="0" w:color="auto"/>
            </w:tcBorders>
            <w:shd w:val="clear" w:color="auto" w:fill="auto"/>
            <w:noWrap/>
            <w:vAlign w:val="bottom"/>
            <w:hideMark/>
          </w:tcPr>
          <w:p w14:paraId="260FB850" w14:textId="77777777" w:rsidR="00CF3957" w:rsidRPr="00EF6B62" w:rsidRDefault="00CF3957" w:rsidP="001E71E3">
            <w:pPr>
              <w:keepNext/>
              <w:jc w:val="right"/>
              <w:rPr>
                <w:sz w:val="16"/>
                <w:szCs w:val="16"/>
              </w:rPr>
            </w:pPr>
            <w:r w:rsidRPr="00EF6B62">
              <w:rPr>
                <w:sz w:val="16"/>
                <w:szCs w:val="16"/>
              </w:rPr>
              <w:t>800.000.000,00</w:t>
            </w:r>
          </w:p>
        </w:tc>
        <w:tc>
          <w:tcPr>
            <w:tcW w:w="1765" w:type="dxa"/>
            <w:tcBorders>
              <w:top w:val="nil"/>
              <w:left w:val="nil"/>
              <w:bottom w:val="single" w:sz="4" w:space="0" w:color="auto"/>
              <w:right w:val="single" w:sz="4" w:space="0" w:color="auto"/>
            </w:tcBorders>
            <w:shd w:val="clear" w:color="auto" w:fill="auto"/>
            <w:noWrap/>
            <w:vAlign w:val="bottom"/>
            <w:hideMark/>
          </w:tcPr>
          <w:p w14:paraId="441E9AF8" w14:textId="77777777" w:rsidR="00CF3957" w:rsidRPr="00EF6B62" w:rsidRDefault="00CF3957" w:rsidP="001E71E3">
            <w:pPr>
              <w:keepNext/>
              <w:jc w:val="right"/>
              <w:rPr>
                <w:sz w:val="16"/>
                <w:szCs w:val="16"/>
              </w:rPr>
            </w:pPr>
            <w:r w:rsidRPr="00EF6B62">
              <w:rPr>
                <w:sz w:val="16"/>
                <w:szCs w:val="16"/>
              </w:rPr>
              <w:t>800.000.000,00</w:t>
            </w:r>
          </w:p>
        </w:tc>
      </w:tr>
      <w:tr w:rsidR="00CF3957" w:rsidRPr="00EF6B62" w14:paraId="1FB1E57B"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3B6454" w14:textId="77777777" w:rsidR="00CF3957" w:rsidRPr="00EF6B62" w:rsidRDefault="00CF3957" w:rsidP="001E71E3">
            <w:pPr>
              <w:keepNext/>
              <w:jc w:val="center"/>
              <w:rPr>
                <w:sz w:val="16"/>
                <w:szCs w:val="16"/>
              </w:rPr>
            </w:pPr>
            <w:r w:rsidRPr="00EF6B62">
              <w:rPr>
                <w:sz w:val="16"/>
                <w:szCs w:val="16"/>
              </w:rPr>
              <w:t>17.</w:t>
            </w:r>
          </w:p>
        </w:tc>
        <w:tc>
          <w:tcPr>
            <w:tcW w:w="3196" w:type="dxa"/>
            <w:tcBorders>
              <w:top w:val="nil"/>
              <w:left w:val="nil"/>
              <w:bottom w:val="single" w:sz="4" w:space="0" w:color="auto"/>
              <w:right w:val="single" w:sz="4" w:space="0" w:color="auto"/>
            </w:tcBorders>
            <w:shd w:val="clear" w:color="auto" w:fill="auto"/>
            <w:noWrap/>
            <w:vAlign w:val="bottom"/>
            <w:hideMark/>
          </w:tcPr>
          <w:p w14:paraId="3284C82D" w14:textId="77777777" w:rsidR="00CF3957" w:rsidRPr="00EF6B62" w:rsidRDefault="00CF3957" w:rsidP="001E71E3">
            <w:pPr>
              <w:keepNext/>
              <w:rPr>
                <w:sz w:val="16"/>
                <w:szCs w:val="16"/>
              </w:rPr>
            </w:pPr>
            <w:r w:rsidRPr="00EF6B62">
              <w:rPr>
                <w:sz w:val="16"/>
                <w:szCs w:val="16"/>
              </w:rPr>
              <w:t xml:space="preserve">PBZ HRK 1,14 </w:t>
            </w:r>
            <w:proofErr w:type="spellStart"/>
            <w:r w:rsidRPr="00EF6B62">
              <w:rPr>
                <w:sz w:val="16"/>
                <w:szCs w:val="16"/>
              </w:rPr>
              <w:t>mlrd</w:t>
            </w:r>
            <w:proofErr w:type="spellEnd"/>
            <w:r w:rsidRPr="00EF6B62">
              <w:rPr>
                <w:sz w:val="16"/>
                <w:szCs w:val="16"/>
              </w:rPr>
              <w:t>. 2020</w:t>
            </w:r>
          </w:p>
        </w:tc>
        <w:tc>
          <w:tcPr>
            <w:tcW w:w="1185" w:type="dxa"/>
            <w:tcBorders>
              <w:top w:val="nil"/>
              <w:left w:val="nil"/>
              <w:bottom w:val="single" w:sz="4" w:space="0" w:color="auto"/>
              <w:right w:val="single" w:sz="4" w:space="0" w:color="auto"/>
            </w:tcBorders>
            <w:shd w:val="clear" w:color="auto" w:fill="auto"/>
            <w:noWrap/>
            <w:vAlign w:val="bottom"/>
            <w:hideMark/>
          </w:tcPr>
          <w:p w14:paraId="2B004223" w14:textId="77777777" w:rsidR="00CF3957" w:rsidRPr="00EF6B62" w:rsidRDefault="00CF3957" w:rsidP="001E71E3">
            <w:pPr>
              <w:keepNext/>
              <w:jc w:val="center"/>
              <w:rPr>
                <w:sz w:val="16"/>
                <w:szCs w:val="16"/>
              </w:rPr>
            </w:pPr>
            <w:r w:rsidRPr="00EF6B62">
              <w:rPr>
                <w:sz w:val="16"/>
                <w:szCs w:val="16"/>
              </w:rPr>
              <w:t>PBZ</w:t>
            </w:r>
          </w:p>
        </w:tc>
        <w:tc>
          <w:tcPr>
            <w:tcW w:w="679" w:type="dxa"/>
            <w:tcBorders>
              <w:top w:val="nil"/>
              <w:left w:val="nil"/>
              <w:bottom w:val="single" w:sz="4" w:space="0" w:color="auto"/>
              <w:right w:val="single" w:sz="4" w:space="0" w:color="auto"/>
            </w:tcBorders>
            <w:shd w:val="clear" w:color="auto" w:fill="auto"/>
            <w:noWrap/>
            <w:vAlign w:val="bottom"/>
            <w:hideMark/>
          </w:tcPr>
          <w:p w14:paraId="43F5FFBF"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nil"/>
              <w:left w:val="nil"/>
              <w:bottom w:val="single" w:sz="4" w:space="0" w:color="auto"/>
              <w:right w:val="single" w:sz="4" w:space="0" w:color="auto"/>
            </w:tcBorders>
            <w:shd w:val="clear" w:color="auto" w:fill="auto"/>
            <w:noWrap/>
            <w:vAlign w:val="bottom"/>
            <w:hideMark/>
          </w:tcPr>
          <w:p w14:paraId="4F6123B8" w14:textId="77777777" w:rsidR="00CF3957" w:rsidRPr="00EF6B62" w:rsidRDefault="00CF3957" w:rsidP="001E71E3">
            <w:pPr>
              <w:keepNext/>
              <w:jc w:val="right"/>
              <w:rPr>
                <w:sz w:val="16"/>
                <w:szCs w:val="16"/>
              </w:rPr>
            </w:pPr>
            <w:r w:rsidRPr="00EF6B62">
              <w:rPr>
                <w:sz w:val="16"/>
                <w:szCs w:val="16"/>
              </w:rPr>
              <w:t>1.140.000.000,00</w:t>
            </w:r>
          </w:p>
        </w:tc>
        <w:tc>
          <w:tcPr>
            <w:tcW w:w="1765" w:type="dxa"/>
            <w:tcBorders>
              <w:top w:val="nil"/>
              <w:left w:val="nil"/>
              <w:bottom w:val="single" w:sz="4" w:space="0" w:color="auto"/>
              <w:right w:val="single" w:sz="4" w:space="0" w:color="auto"/>
            </w:tcBorders>
            <w:shd w:val="clear" w:color="auto" w:fill="auto"/>
            <w:noWrap/>
            <w:vAlign w:val="bottom"/>
            <w:hideMark/>
          </w:tcPr>
          <w:p w14:paraId="5CA421CF" w14:textId="77777777" w:rsidR="00CF3957" w:rsidRPr="00EF6B62" w:rsidRDefault="00CF3957" w:rsidP="001E71E3">
            <w:pPr>
              <w:keepNext/>
              <w:jc w:val="right"/>
              <w:rPr>
                <w:sz w:val="16"/>
                <w:szCs w:val="16"/>
              </w:rPr>
            </w:pPr>
            <w:r w:rsidRPr="00EF6B62">
              <w:rPr>
                <w:sz w:val="16"/>
                <w:szCs w:val="16"/>
              </w:rPr>
              <w:t>1.140.000.000,00</w:t>
            </w:r>
          </w:p>
        </w:tc>
      </w:tr>
      <w:tr w:rsidR="00CF3957" w:rsidRPr="00EF6B62" w14:paraId="67256C89"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BD6D03" w14:textId="77777777" w:rsidR="00CF3957" w:rsidRPr="00EF6B62" w:rsidRDefault="00CF3957" w:rsidP="001E71E3">
            <w:pPr>
              <w:keepNext/>
              <w:jc w:val="center"/>
              <w:rPr>
                <w:sz w:val="16"/>
                <w:szCs w:val="16"/>
              </w:rPr>
            </w:pPr>
            <w:r w:rsidRPr="00EF6B62">
              <w:rPr>
                <w:sz w:val="16"/>
                <w:szCs w:val="16"/>
              </w:rPr>
              <w:t>18.</w:t>
            </w:r>
          </w:p>
        </w:tc>
        <w:tc>
          <w:tcPr>
            <w:tcW w:w="3196" w:type="dxa"/>
            <w:tcBorders>
              <w:top w:val="nil"/>
              <w:left w:val="nil"/>
              <w:bottom w:val="single" w:sz="4" w:space="0" w:color="auto"/>
              <w:right w:val="single" w:sz="4" w:space="0" w:color="auto"/>
            </w:tcBorders>
            <w:shd w:val="clear" w:color="auto" w:fill="auto"/>
            <w:noWrap/>
            <w:vAlign w:val="bottom"/>
            <w:hideMark/>
          </w:tcPr>
          <w:p w14:paraId="2C0BD0F3" w14:textId="77777777" w:rsidR="00CF3957" w:rsidRPr="00EF6B62" w:rsidRDefault="00CF3957" w:rsidP="001E71E3">
            <w:pPr>
              <w:keepNext/>
              <w:rPr>
                <w:sz w:val="16"/>
                <w:szCs w:val="16"/>
              </w:rPr>
            </w:pPr>
            <w:r w:rsidRPr="00EF6B62">
              <w:rPr>
                <w:sz w:val="16"/>
                <w:szCs w:val="16"/>
              </w:rPr>
              <w:t xml:space="preserve">PBZ HRK 1,2 </w:t>
            </w:r>
            <w:proofErr w:type="spellStart"/>
            <w:r w:rsidRPr="00EF6B62">
              <w:rPr>
                <w:sz w:val="16"/>
                <w:szCs w:val="16"/>
              </w:rPr>
              <w:t>mlrd</w:t>
            </w:r>
            <w:proofErr w:type="spellEnd"/>
            <w:r w:rsidRPr="00EF6B62">
              <w:rPr>
                <w:sz w:val="16"/>
                <w:szCs w:val="16"/>
              </w:rPr>
              <w:t>. 2020</w:t>
            </w:r>
          </w:p>
        </w:tc>
        <w:tc>
          <w:tcPr>
            <w:tcW w:w="1185" w:type="dxa"/>
            <w:tcBorders>
              <w:top w:val="nil"/>
              <w:left w:val="nil"/>
              <w:bottom w:val="single" w:sz="4" w:space="0" w:color="auto"/>
              <w:right w:val="single" w:sz="4" w:space="0" w:color="auto"/>
            </w:tcBorders>
            <w:shd w:val="clear" w:color="auto" w:fill="auto"/>
            <w:noWrap/>
            <w:vAlign w:val="bottom"/>
            <w:hideMark/>
          </w:tcPr>
          <w:p w14:paraId="5C5BD158" w14:textId="77777777" w:rsidR="00CF3957" w:rsidRPr="00EF6B62" w:rsidRDefault="00CF3957" w:rsidP="001E71E3">
            <w:pPr>
              <w:keepNext/>
              <w:jc w:val="center"/>
              <w:rPr>
                <w:sz w:val="16"/>
                <w:szCs w:val="16"/>
              </w:rPr>
            </w:pPr>
            <w:r w:rsidRPr="00EF6B62">
              <w:rPr>
                <w:sz w:val="16"/>
                <w:szCs w:val="16"/>
              </w:rPr>
              <w:t>PBZ</w:t>
            </w:r>
          </w:p>
        </w:tc>
        <w:tc>
          <w:tcPr>
            <w:tcW w:w="679" w:type="dxa"/>
            <w:tcBorders>
              <w:top w:val="nil"/>
              <w:left w:val="nil"/>
              <w:bottom w:val="single" w:sz="4" w:space="0" w:color="auto"/>
              <w:right w:val="single" w:sz="4" w:space="0" w:color="auto"/>
            </w:tcBorders>
            <w:shd w:val="clear" w:color="auto" w:fill="auto"/>
            <w:noWrap/>
            <w:vAlign w:val="bottom"/>
            <w:hideMark/>
          </w:tcPr>
          <w:p w14:paraId="497AF95B"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nil"/>
              <w:left w:val="nil"/>
              <w:bottom w:val="single" w:sz="4" w:space="0" w:color="auto"/>
              <w:right w:val="single" w:sz="4" w:space="0" w:color="auto"/>
            </w:tcBorders>
            <w:shd w:val="clear" w:color="auto" w:fill="auto"/>
            <w:noWrap/>
            <w:vAlign w:val="bottom"/>
            <w:hideMark/>
          </w:tcPr>
          <w:p w14:paraId="0DBCF07A" w14:textId="77777777" w:rsidR="00CF3957" w:rsidRPr="00EF6B62" w:rsidRDefault="00CF3957" w:rsidP="001E71E3">
            <w:pPr>
              <w:keepNext/>
              <w:jc w:val="right"/>
              <w:rPr>
                <w:sz w:val="16"/>
                <w:szCs w:val="16"/>
              </w:rPr>
            </w:pPr>
            <w:r w:rsidRPr="00EF6B62">
              <w:rPr>
                <w:sz w:val="16"/>
                <w:szCs w:val="16"/>
              </w:rPr>
              <w:t>1.200.000.000,00</w:t>
            </w:r>
          </w:p>
        </w:tc>
        <w:tc>
          <w:tcPr>
            <w:tcW w:w="1765" w:type="dxa"/>
            <w:tcBorders>
              <w:top w:val="nil"/>
              <w:left w:val="nil"/>
              <w:bottom w:val="single" w:sz="4" w:space="0" w:color="auto"/>
              <w:right w:val="single" w:sz="4" w:space="0" w:color="auto"/>
            </w:tcBorders>
            <w:shd w:val="clear" w:color="auto" w:fill="auto"/>
            <w:noWrap/>
            <w:vAlign w:val="bottom"/>
            <w:hideMark/>
          </w:tcPr>
          <w:p w14:paraId="246238B0" w14:textId="77777777" w:rsidR="00CF3957" w:rsidRPr="00EF6B62" w:rsidRDefault="00CF3957" w:rsidP="001E71E3">
            <w:pPr>
              <w:keepNext/>
              <w:jc w:val="right"/>
              <w:rPr>
                <w:sz w:val="16"/>
                <w:szCs w:val="16"/>
              </w:rPr>
            </w:pPr>
            <w:r w:rsidRPr="00EF6B62">
              <w:rPr>
                <w:sz w:val="16"/>
                <w:szCs w:val="16"/>
              </w:rPr>
              <w:t>1.200.000.000,00</w:t>
            </w:r>
          </w:p>
        </w:tc>
      </w:tr>
      <w:tr w:rsidR="00CF3957" w:rsidRPr="00EF6B62" w14:paraId="7112D4F2"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C1B13E" w14:textId="77777777" w:rsidR="00CF3957" w:rsidRPr="00EF6B62" w:rsidRDefault="00CF3957" w:rsidP="001E71E3">
            <w:pPr>
              <w:keepNext/>
              <w:jc w:val="center"/>
              <w:rPr>
                <w:sz w:val="16"/>
                <w:szCs w:val="16"/>
              </w:rPr>
            </w:pPr>
            <w:r w:rsidRPr="00EF6B62">
              <w:rPr>
                <w:sz w:val="16"/>
                <w:szCs w:val="16"/>
              </w:rPr>
              <w:t>20.</w:t>
            </w:r>
          </w:p>
        </w:tc>
        <w:tc>
          <w:tcPr>
            <w:tcW w:w="3196" w:type="dxa"/>
            <w:tcBorders>
              <w:top w:val="nil"/>
              <w:left w:val="nil"/>
              <w:bottom w:val="single" w:sz="4" w:space="0" w:color="auto"/>
              <w:right w:val="single" w:sz="4" w:space="0" w:color="auto"/>
            </w:tcBorders>
            <w:shd w:val="clear" w:color="auto" w:fill="auto"/>
            <w:noWrap/>
            <w:vAlign w:val="bottom"/>
            <w:hideMark/>
          </w:tcPr>
          <w:p w14:paraId="1EB95976" w14:textId="77777777" w:rsidR="00CF3957" w:rsidRPr="00EF6B62" w:rsidRDefault="00CF3957" w:rsidP="001E71E3">
            <w:pPr>
              <w:keepNext/>
              <w:rPr>
                <w:sz w:val="16"/>
                <w:szCs w:val="16"/>
              </w:rPr>
            </w:pPr>
            <w:r w:rsidRPr="00EF6B62">
              <w:rPr>
                <w:sz w:val="16"/>
                <w:szCs w:val="16"/>
              </w:rPr>
              <w:t xml:space="preserve">ZABA HRK 750 </w:t>
            </w:r>
            <w:proofErr w:type="spellStart"/>
            <w:r w:rsidRPr="00EF6B62">
              <w:rPr>
                <w:sz w:val="16"/>
                <w:szCs w:val="16"/>
              </w:rPr>
              <w:t>mil</w:t>
            </w:r>
            <w:proofErr w:type="spellEnd"/>
            <w:r w:rsidRPr="00EF6B62">
              <w:rPr>
                <w:sz w:val="16"/>
                <w:szCs w:val="16"/>
              </w:rPr>
              <w:t xml:space="preserve">. D-2023 </w:t>
            </w:r>
          </w:p>
        </w:tc>
        <w:tc>
          <w:tcPr>
            <w:tcW w:w="1185" w:type="dxa"/>
            <w:tcBorders>
              <w:top w:val="nil"/>
              <w:left w:val="nil"/>
              <w:bottom w:val="single" w:sz="4" w:space="0" w:color="auto"/>
              <w:right w:val="single" w:sz="4" w:space="0" w:color="auto"/>
            </w:tcBorders>
            <w:shd w:val="clear" w:color="auto" w:fill="auto"/>
            <w:noWrap/>
            <w:vAlign w:val="bottom"/>
            <w:hideMark/>
          </w:tcPr>
          <w:p w14:paraId="47A9D7B6" w14:textId="77777777" w:rsidR="00CF3957" w:rsidRPr="00EF6B62" w:rsidRDefault="00CF3957" w:rsidP="001E71E3">
            <w:pPr>
              <w:keepNext/>
              <w:jc w:val="center"/>
              <w:rPr>
                <w:sz w:val="16"/>
                <w:szCs w:val="16"/>
              </w:rPr>
            </w:pPr>
            <w:r w:rsidRPr="00EF6B62">
              <w:rPr>
                <w:sz w:val="16"/>
                <w:szCs w:val="16"/>
              </w:rPr>
              <w:t>ZABA</w:t>
            </w:r>
          </w:p>
        </w:tc>
        <w:tc>
          <w:tcPr>
            <w:tcW w:w="679" w:type="dxa"/>
            <w:tcBorders>
              <w:top w:val="nil"/>
              <w:left w:val="nil"/>
              <w:bottom w:val="single" w:sz="4" w:space="0" w:color="auto"/>
              <w:right w:val="single" w:sz="4" w:space="0" w:color="auto"/>
            </w:tcBorders>
            <w:shd w:val="clear" w:color="auto" w:fill="auto"/>
            <w:noWrap/>
            <w:vAlign w:val="bottom"/>
            <w:hideMark/>
          </w:tcPr>
          <w:p w14:paraId="59C544C5"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nil"/>
              <w:left w:val="nil"/>
              <w:bottom w:val="single" w:sz="4" w:space="0" w:color="auto"/>
              <w:right w:val="single" w:sz="4" w:space="0" w:color="auto"/>
            </w:tcBorders>
            <w:shd w:val="clear" w:color="auto" w:fill="auto"/>
            <w:noWrap/>
            <w:vAlign w:val="bottom"/>
            <w:hideMark/>
          </w:tcPr>
          <w:p w14:paraId="7FEC29BB" w14:textId="77777777" w:rsidR="00CF3957" w:rsidRPr="00EF6B62" w:rsidRDefault="00CF3957" w:rsidP="001E71E3">
            <w:pPr>
              <w:keepNext/>
              <w:jc w:val="right"/>
              <w:rPr>
                <w:sz w:val="16"/>
                <w:szCs w:val="16"/>
              </w:rPr>
            </w:pPr>
            <w:r w:rsidRPr="00EF6B62">
              <w:rPr>
                <w:sz w:val="16"/>
                <w:szCs w:val="16"/>
              </w:rPr>
              <w:t>125.000.000,00</w:t>
            </w:r>
          </w:p>
        </w:tc>
        <w:tc>
          <w:tcPr>
            <w:tcW w:w="1765" w:type="dxa"/>
            <w:tcBorders>
              <w:top w:val="nil"/>
              <w:left w:val="nil"/>
              <w:bottom w:val="single" w:sz="4" w:space="0" w:color="auto"/>
              <w:right w:val="single" w:sz="4" w:space="0" w:color="auto"/>
            </w:tcBorders>
            <w:shd w:val="clear" w:color="auto" w:fill="auto"/>
            <w:noWrap/>
            <w:vAlign w:val="bottom"/>
            <w:hideMark/>
          </w:tcPr>
          <w:p w14:paraId="2209E7EB" w14:textId="77777777" w:rsidR="00CF3957" w:rsidRPr="00EF6B62" w:rsidRDefault="00CF3957" w:rsidP="001E71E3">
            <w:pPr>
              <w:keepNext/>
              <w:jc w:val="right"/>
              <w:rPr>
                <w:sz w:val="16"/>
                <w:szCs w:val="16"/>
              </w:rPr>
            </w:pPr>
            <w:r w:rsidRPr="00EF6B62">
              <w:rPr>
                <w:sz w:val="16"/>
                <w:szCs w:val="16"/>
              </w:rPr>
              <w:t>125.000.000,00</w:t>
            </w:r>
          </w:p>
        </w:tc>
      </w:tr>
      <w:tr w:rsidR="00CF3957" w:rsidRPr="00EF6B62" w14:paraId="30AAF150"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80390D" w14:textId="77777777" w:rsidR="00CF3957" w:rsidRPr="00EF6B62" w:rsidRDefault="00CF3957" w:rsidP="001E71E3">
            <w:pPr>
              <w:keepNext/>
              <w:jc w:val="center"/>
              <w:rPr>
                <w:sz w:val="16"/>
                <w:szCs w:val="16"/>
              </w:rPr>
            </w:pPr>
            <w:r w:rsidRPr="00EF6B62">
              <w:rPr>
                <w:sz w:val="16"/>
                <w:szCs w:val="16"/>
              </w:rPr>
              <w:t>21.</w:t>
            </w:r>
          </w:p>
        </w:tc>
        <w:tc>
          <w:tcPr>
            <w:tcW w:w="3196" w:type="dxa"/>
            <w:tcBorders>
              <w:top w:val="nil"/>
              <w:left w:val="nil"/>
              <w:bottom w:val="single" w:sz="4" w:space="0" w:color="auto"/>
              <w:right w:val="single" w:sz="4" w:space="0" w:color="auto"/>
            </w:tcBorders>
            <w:shd w:val="clear" w:color="auto" w:fill="auto"/>
            <w:noWrap/>
            <w:vAlign w:val="bottom"/>
            <w:hideMark/>
          </w:tcPr>
          <w:p w14:paraId="2419B2B7" w14:textId="77777777" w:rsidR="00CF3957" w:rsidRPr="00EF6B62" w:rsidRDefault="00CF3957" w:rsidP="001E71E3">
            <w:pPr>
              <w:keepNext/>
              <w:rPr>
                <w:sz w:val="16"/>
                <w:szCs w:val="16"/>
              </w:rPr>
            </w:pPr>
            <w:r w:rsidRPr="00EF6B62">
              <w:rPr>
                <w:sz w:val="16"/>
                <w:szCs w:val="16"/>
              </w:rPr>
              <w:t xml:space="preserve">ZABA HRK 750 </w:t>
            </w:r>
            <w:proofErr w:type="spellStart"/>
            <w:r w:rsidRPr="00EF6B62">
              <w:rPr>
                <w:sz w:val="16"/>
                <w:szCs w:val="16"/>
              </w:rPr>
              <w:t>mil</w:t>
            </w:r>
            <w:proofErr w:type="spellEnd"/>
            <w:r w:rsidRPr="00EF6B62">
              <w:rPr>
                <w:sz w:val="16"/>
                <w:szCs w:val="16"/>
              </w:rPr>
              <w:t xml:space="preserve">. D-2025 </w:t>
            </w:r>
          </w:p>
        </w:tc>
        <w:tc>
          <w:tcPr>
            <w:tcW w:w="1185" w:type="dxa"/>
            <w:tcBorders>
              <w:top w:val="nil"/>
              <w:left w:val="nil"/>
              <w:bottom w:val="single" w:sz="4" w:space="0" w:color="auto"/>
              <w:right w:val="single" w:sz="4" w:space="0" w:color="auto"/>
            </w:tcBorders>
            <w:shd w:val="clear" w:color="auto" w:fill="auto"/>
            <w:noWrap/>
            <w:vAlign w:val="bottom"/>
            <w:hideMark/>
          </w:tcPr>
          <w:p w14:paraId="08E9EE3A" w14:textId="77777777" w:rsidR="00CF3957" w:rsidRPr="00EF6B62" w:rsidRDefault="00CF3957" w:rsidP="001E71E3">
            <w:pPr>
              <w:keepNext/>
              <w:jc w:val="center"/>
              <w:rPr>
                <w:sz w:val="16"/>
                <w:szCs w:val="16"/>
              </w:rPr>
            </w:pPr>
            <w:r w:rsidRPr="00EF6B62">
              <w:rPr>
                <w:sz w:val="16"/>
                <w:szCs w:val="16"/>
              </w:rPr>
              <w:t>ZABA</w:t>
            </w:r>
          </w:p>
        </w:tc>
        <w:tc>
          <w:tcPr>
            <w:tcW w:w="679" w:type="dxa"/>
            <w:tcBorders>
              <w:top w:val="nil"/>
              <w:left w:val="nil"/>
              <w:bottom w:val="single" w:sz="4" w:space="0" w:color="auto"/>
              <w:right w:val="single" w:sz="4" w:space="0" w:color="auto"/>
            </w:tcBorders>
            <w:shd w:val="clear" w:color="auto" w:fill="auto"/>
            <w:noWrap/>
            <w:vAlign w:val="bottom"/>
            <w:hideMark/>
          </w:tcPr>
          <w:p w14:paraId="1164CF16"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nil"/>
              <w:left w:val="nil"/>
              <w:bottom w:val="single" w:sz="4" w:space="0" w:color="auto"/>
              <w:right w:val="single" w:sz="4" w:space="0" w:color="auto"/>
            </w:tcBorders>
            <w:shd w:val="clear" w:color="auto" w:fill="auto"/>
            <w:noWrap/>
            <w:vAlign w:val="bottom"/>
            <w:hideMark/>
          </w:tcPr>
          <w:p w14:paraId="63693251" w14:textId="77777777" w:rsidR="00CF3957" w:rsidRPr="00EF6B62" w:rsidRDefault="00CF3957" w:rsidP="001E71E3">
            <w:pPr>
              <w:keepNext/>
              <w:jc w:val="right"/>
              <w:rPr>
                <w:sz w:val="16"/>
                <w:szCs w:val="16"/>
              </w:rPr>
            </w:pPr>
            <w:r w:rsidRPr="00EF6B62">
              <w:rPr>
                <w:sz w:val="16"/>
                <w:szCs w:val="16"/>
              </w:rPr>
              <w:t>375.000.000,00</w:t>
            </w:r>
          </w:p>
        </w:tc>
        <w:tc>
          <w:tcPr>
            <w:tcW w:w="1765" w:type="dxa"/>
            <w:tcBorders>
              <w:top w:val="nil"/>
              <w:left w:val="nil"/>
              <w:bottom w:val="single" w:sz="4" w:space="0" w:color="auto"/>
              <w:right w:val="single" w:sz="4" w:space="0" w:color="auto"/>
            </w:tcBorders>
            <w:shd w:val="clear" w:color="auto" w:fill="auto"/>
            <w:noWrap/>
            <w:vAlign w:val="bottom"/>
            <w:hideMark/>
          </w:tcPr>
          <w:p w14:paraId="55BC3786" w14:textId="77777777" w:rsidR="00CF3957" w:rsidRPr="00EF6B62" w:rsidRDefault="00CF3957" w:rsidP="001E71E3">
            <w:pPr>
              <w:keepNext/>
              <w:jc w:val="right"/>
              <w:rPr>
                <w:sz w:val="16"/>
                <w:szCs w:val="16"/>
              </w:rPr>
            </w:pPr>
            <w:r w:rsidRPr="00EF6B62">
              <w:rPr>
                <w:sz w:val="16"/>
                <w:szCs w:val="16"/>
              </w:rPr>
              <w:t>375.000.000,00</w:t>
            </w:r>
          </w:p>
        </w:tc>
      </w:tr>
      <w:tr w:rsidR="00CF3957" w:rsidRPr="00EF6B62" w14:paraId="23E3A052"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F8578A" w14:textId="77777777" w:rsidR="00CF3957" w:rsidRPr="00EF6B62" w:rsidRDefault="00CF3957" w:rsidP="001E71E3">
            <w:pPr>
              <w:keepNext/>
              <w:jc w:val="center"/>
              <w:rPr>
                <w:sz w:val="16"/>
                <w:szCs w:val="16"/>
              </w:rPr>
            </w:pPr>
            <w:r w:rsidRPr="00EF6B62">
              <w:rPr>
                <w:sz w:val="16"/>
                <w:szCs w:val="16"/>
              </w:rPr>
              <w:t>22.</w:t>
            </w:r>
          </w:p>
        </w:tc>
        <w:tc>
          <w:tcPr>
            <w:tcW w:w="3196" w:type="dxa"/>
            <w:tcBorders>
              <w:top w:val="nil"/>
              <w:left w:val="nil"/>
              <w:bottom w:val="single" w:sz="4" w:space="0" w:color="auto"/>
              <w:right w:val="single" w:sz="4" w:space="0" w:color="auto"/>
            </w:tcBorders>
            <w:shd w:val="clear" w:color="auto" w:fill="auto"/>
            <w:noWrap/>
            <w:vAlign w:val="bottom"/>
            <w:hideMark/>
          </w:tcPr>
          <w:p w14:paraId="5A431BED" w14:textId="77777777" w:rsidR="00CF3957" w:rsidRPr="00EF6B62" w:rsidRDefault="00CF3957" w:rsidP="001E71E3">
            <w:pPr>
              <w:keepNext/>
              <w:rPr>
                <w:sz w:val="16"/>
                <w:szCs w:val="16"/>
              </w:rPr>
            </w:pPr>
            <w:r w:rsidRPr="00EF6B62">
              <w:rPr>
                <w:sz w:val="16"/>
                <w:szCs w:val="16"/>
              </w:rPr>
              <w:t xml:space="preserve">ZABA kredit 2 </w:t>
            </w:r>
            <w:proofErr w:type="spellStart"/>
            <w:r w:rsidRPr="00EF6B62">
              <w:rPr>
                <w:sz w:val="16"/>
                <w:szCs w:val="16"/>
              </w:rPr>
              <w:t>mlrd</w:t>
            </w:r>
            <w:proofErr w:type="spellEnd"/>
            <w:r w:rsidRPr="00EF6B62">
              <w:rPr>
                <w:sz w:val="16"/>
                <w:szCs w:val="16"/>
              </w:rPr>
              <w:t xml:space="preserve"> I HRK 2026</w:t>
            </w:r>
          </w:p>
        </w:tc>
        <w:tc>
          <w:tcPr>
            <w:tcW w:w="1185" w:type="dxa"/>
            <w:tcBorders>
              <w:top w:val="nil"/>
              <w:left w:val="nil"/>
              <w:bottom w:val="single" w:sz="4" w:space="0" w:color="auto"/>
              <w:right w:val="single" w:sz="4" w:space="0" w:color="auto"/>
            </w:tcBorders>
            <w:shd w:val="clear" w:color="auto" w:fill="auto"/>
            <w:noWrap/>
            <w:vAlign w:val="bottom"/>
            <w:hideMark/>
          </w:tcPr>
          <w:p w14:paraId="5B934849" w14:textId="77777777" w:rsidR="00CF3957" w:rsidRPr="00EF6B62" w:rsidRDefault="00CF3957" w:rsidP="001E71E3">
            <w:pPr>
              <w:keepNext/>
              <w:jc w:val="center"/>
              <w:rPr>
                <w:sz w:val="16"/>
                <w:szCs w:val="16"/>
              </w:rPr>
            </w:pPr>
            <w:r w:rsidRPr="00EF6B62">
              <w:rPr>
                <w:sz w:val="16"/>
                <w:szCs w:val="16"/>
              </w:rPr>
              <w:t>ZABA</w:t>
            </w:r>
          </w:p>
        </w:tc>
        <w:tc>
          <w:tcPr>
            <w:tcW w:w="679" w:type="dxa"/>
            <w:tcBorders>
              <w:top w:val="nil"/>
              <w:left w:val="nil"/>
              <w:bottom w:val="single" w:sz="4" w:space="0" w:color="auto"/>
              <w:right w:val="single" w:sz="4" w:space="0" w:color="auto"/>
            </w:tcBorders>
            <w:shd w:val="clear" w:color="auto" w:fill="auto"/>
            <w:noWrap/>
            <w:vAlign w:val="bottom"/>
            <w:hideMark/>
          </w:tcPr>
          <w:p w14:paraId="3C48F5A8"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nil"/>
              <w:left w:val="nil"/>
              <w:bottom w:val="single" w:sz="4" w:space="0" w:color="auto"/>
              <w:right w:val="single" w:sz="4" w:space="0" w:color="auto"/>
            </w:tcBorders>
            <w:shd w:val="clear" w:color="auto" w:fill="auto"/>
            <w:noWrap/>
            <w:vAlign w:val="bottom"/>
            <w:hideMark/>
          </w:tcPr>
          <w:p w14:paraId="5604FF67" w14:textId="77777777" w:rsidR="00CF3957" w:rsidRPr="00EF6B62" w:rsidRDefault="00CF3957" w:rsidP="001E71E3">
            <w:pPr>
              <w:keepNext/>
              <w:jc w:val="right"/>
              <w:rPr>
                <w:sz w:val="16"/>
                <w:szCs w:val="16"/>
              </w:rPr>
            </w:pPr>
            <w:r w:rsidRPr="00EF6B62">
              <w:rPr>
                <w:sz w:val="16"/>
                <w:szCs w:val="16"/>
              </w:rPr>
              <w:t>1.400.000.000,00</w:t>
            </w:r>
          </w:p>
        </w:tc>
        <w:tc>
          <w:tcPr>
            <w:tcW w:w="1765" w:type="dxa"/>
            <w:tcBorders>
              <w:top w:val="nil"/>
              <w:left w:val="nil"/>
              <w:bottom w:val="single" w:sz="4" w:space="0" w:color="auto"/>
              <w:right w:val="single" w:sz="4" w:space="0" w:color="auto"/>
            </w:tcBorders>
            <w:shd w:val="clear" w:color="auto" w:fill="auto"/>
            <w:noWrap/>
            <w:vAlign w:val="bottom"/>
            <w:hideMark/>
          </w:tcPr>
          <w:p w14:paraId="18C6F64D" w14:textId="77777777" w:rsidR="00CF3957" w:rsidRPr="00EF6B62" w:rsidRDefault="00CF3957" w:rsidP="001E71E3">
            <w:pPr>
              <w:keepNext/>
              <w:jc w:val="right"/>
              <w:rPr>
                <w:sz w:val="16"/>
                <w:szCs w:val="16"/>
              </w:rPr>
            </w:pPr>
            <w:r w:rsidRPr="00EF6B62">
              <w:rPr>
                <w:sz w:val="16"/>
                <w:szCs w:val="16"/>
              </w:rPr>
              <w:t>1.400.000.000,00</w:t>
            </w:r>
          </w:p>
        </w:tc>
      </w:tr>
      <w:tr w:rsidR="00CF3957" w:rsidRPr="00EF6B62" w14:paraId="49510194"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8A340A" w14:textId="77777777" w:rsidR="00CF3957" w:rsidRPr="00EF6B62" w:rsidRDefault="00CF3957" w:rsidP="001E71E3">
            <w:pPr>
              <w:keepNext/>
              <w:jc w:val="center"/>
              <w:rPr>
                <w:sz w:val="16"/>
                <w:szCs w:val="16"/>
              </w:rPr>
            </w:pPr>
            <w:r w:rsidRPr="00EF6B62">
              <w:rPr>
                <w:sz w:val="16"/>
                <w:szCs w:val="16"/>
              </w:rPr>
              <w:t>23.</w:t>
            </w:r>
          </w:p>
        </w:tc>
        <w:tc>
          <w:tcPr>
            <w:tcW w:w="3196" w:type="dxa"/>
            <w:tcBorders>
              <w:top w:val="nil"/>
              <w:left w:val="nil"/>
              <w:bottom w:val="single" w:sz="4" w:space="0" w:color="auto"/>
              <w:right w:val="single" w:sz="4" w:space="0" w:color="auto"/>
            </w:tcBorders>
            <w:shd w:val="clear" w:color="auto" w:fill="auto"/>
            <w:noWrap/>
            <w:vAlign w:val="bottom"/>
            <w:hideMark/>
          </w:tcPr>
          <w:p w14:paraId="46FB640F" w14:textId="77777777" w:rsidR="00CF3957" w:rsidRPr="00EF6B62" w:rsidRDefault="00CF3957" w:rsidP="001E71E3">
            <w:pPr>
              <w:keepNext/>
              <w:rPr>
                <w:sz w:val="16"/>
                <w:szCs w:val="16"/>
              </w:rPr>
            </w:pPr>
            <w:r w:rsidRPr="00EF6B62">
              <w:rPr>
                <w:sz w:val="16"/>
                <w:szCs w:val="16"/>
              </w:rPr>
              <w:t xml:space="preserve">ZABA kredit 3 </w:t>
            </w:r>
            <w:proofErr w:type="spellStart"/>
            <w:r w:rsidRPr="00EF6B62">
              <w:rPr>
                <w:sz w:val="16"/>
                <w:szCs w:val="16"/>
              </w:rPr>
              <w:t>mlrd</w:t>
            </w:r>
            <w:proofErr w:type="spellEnd"/>
            <w:r w:rsidRPr="00EF6B62">
              <w:rPr>
                <w:sz w:val="16"/>
                <w:szCs w:val="16"/>
              </w:rPr>
              <w:t xml:space="preserve"> I HRK 2026</w:t>
            </w:r>
          </w:p>
        </w:tc>
        <w:tc>
          <w:tcPr>
            <w:tcW w:w="1185" w:type="dxa"/>
            <w:tcBorders>
              <w:top w:val="nil"/>
              <w:left w:val="nil"/>
              <w:bottom w:val="single" w:sz="4" w:space="0" w:color="auto"/>
              <w:right w:val="single" w:sz="4" w:space="0" w:color="auto"/>
            </w:tcBorders>
            <w:shd w:val="clear" w:color="auto" w:fill="auto"/>
            <w:noWrap/>
            <w:vAlign w:val="bottom"/>
            <w:hideMark/>
          </w:tcPr>
          <w:p w14:paraId="353A7A2D" w14:textId="77777777" w:rsidR="00CF3957" w:rsidRPr="00EF6B62" w:rsidRDefault="00CF3957" w:rsidP="001E71E3">
            <w:pPr>
              <w:keepNext/>
              <w:jc w:val="center"/>
              <w:rPr>
                <w:sz w:val="16"/>
                <w:szCs w:val="16"/>
              </w:rPr>
            </w:pPr>
            <w:r w:rsidRPr="00EF6B62">
              <w:rPr>
                <w:sz w:val="16"/>
                <w:szCs w:val="16"/>
              </w:rPr>
              <w:t>ZABA</w:t>
            </w:r>
          </w:p>
        </w:tc>
        <w:tc>
          <w:tcPr>
            <w:tcW w:w="679" w:type="dxa"/>
            <w:tcBorders>
              <w:top w:val="nil"/>
              <w:left w:val="nil"/>
              <w:bottom w:val="single" w:sz="4" w:space="0" w:color="auto"/>
              <w:right w:val="single" w:sz="4" w:space="0" w:color="auto"/>
            </w:tcBorders>
            <w:shd w:val="clear" w:color="auto" w:fill="auto"/>
            <w:noWrap/>
            <w:vAlign w:val="bottom"/>
            <w:hideMark/>
          </w:tcPr>
          <w:p w14:paraId="1F6DEB50" w14:textId="77777777" w:rsidR="00CF3957" w:rsidRPr="00EF6B62" w:rsidRDefault="00CF3957" w:rsidP="001E71E3">
            <w:pPr>
              <w:keepNext/>
              <w:jc w:val="center"/>
              <w:rPr>
                <w:sz w:val="16"/>
                <w:szCs w:val="16"/>
              </w:rPr>
            </w:pPr>
            <w:r w:rsidRPr="00EF6B62">
              <w:rPr>
                <w:sz w:val="16"/>
                <w:szCs w:val="16"/>
              </w:rPr>
              <w:t>HRK</w:t>
            </w:r>
          </w:p>
        </w:tc>
        <w:tc>
          <w:tcPr>
            <w:tcW w:w="1765" w:type="dxa"/>
            <w:tcBorders>
              <w:top w:val="nil"/>
              <w:left w:val="nil"/>
              <w:bottom w:val="single" w:sz="4" w:space="0" w:color="auto"/>
              <w:right w:val="single" w:sz="4" w:space="0" w:color="auto"/>
            </w:tcBorders>
            <w:shd w:val="clear" w:color="auto" w:fill="auto"/>
            <w:noWrap/>
            <w:vAlign w:val="bottom"/>
            <w:hideMark/>
          </w:tcPr>
          <w:p w14:paraId="56E9232B" w14:textId="77777777" w:rsidR="00CF3957" w:rsidRPr="00EF6B62" w:rsidRDefault="00CF3957" w:rsidP="001E71E3">
            <w:pPr>
              <w:keepNext/>
              <w:jc w:val="right"/>
              <w:rPr>
                <w:sz w:val="16"/>
                <w:szCs w:val="16"/>
              </w:rPr>
            </w:pPr>
            <w:r w:rsidRPr="00EF6B62">
              <w:rPr>
                <w:sz w:val="16"/>
                <w:szCs w:val="16"/>
              </w:rPr>
              <w:t>3.000.000.000,00</w:t>
            </w:r>
          </w:p>
        </w:tc>
        <w:tc>
          <w:tcPr>
            <w:tcW w:w="1765" w:type="dxa"/>
            <w:tcBorders>
              <w:top w:val="nil"/>
              <w:left w:val="nil"/>
              <w:bottom w:val="single" w:sz="4" w:space="0" w:color="auto"/>
              <w:right w:val="single" w:sz="4" w:space="0" w:color="auto"/>
            </w:tcBorders>
            <w:shd w:val="clear" w:color="auto" w:fill="auto"/>
            <w:noWrap/>
            <w:vAlign w:val="bottom"/>
            <w:hideMark/>
          </w:tcPr>
          <w:p w14:paraId="48F710EC" w14:textId="77777777" w:rsidR="00CF3957" w:rsidRPr="00EF6B62" w:rsidRDefault="00CF3957" w:rsidP="001E71E3">
            <w:pPr>
              <w:keepNext/>
              <w:jc w:val="right"/>
              <w:rPr>
                <w:sz w:val="16"/>
                <w:szCs w:val="16"/>
              </w:rPr>
            </w:pPr>
            <w:r w:rsidRPr="00EF6B62">
              <w:rPr>
                <w:sz w:val="16"/>
                <w:szCs w:val="16"/>
              </w:rPr>
              <w:t>3.000.000.000,00</w:t>
            </w:r>
          </w:p>
        </w:tc>
      </w:tr>
      <w:tr w:rsidR="00CF3957" w:rsidRPr="00EF6B62" w14:paraId="3E861F9E"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B66E6C" w14:textId="77777777" w:rsidR="00CF3957" w:rsidRPr="00EF6B62" w:rsidRDefault="00CF3957" w:rsidP="001E71E3">
            <w:pPr>
              <w:keepNext/>
              <w:jc w:val="center"/>
              <w:rPr>
                <w:sz w:val="16"/>
                <w:szCs w:val="16"/>
              </w:rPr>
            </w:pPr>
            <w:r w:rsidRPr="00EF6B62">
              <w:rPr>
                <w:sz w:val="16"/>
                <w:szCs w:val="16"/>
              </w:rPr>
              <w:t>24.</w:t>
            </w:r>
          </w:p>
        </w:tc>
        <w:tc>
          <w:tcPr>
            <w:tcW w:w="3196" w:type="dxa"/>
            <w:tcBorders>
              <w:top w:val="nil"/>
              <w:left w:val="nil"/>
              <w:bottom w:val="single" w:sz="4" w:space="0" w:color="auto"/>
              <w:right w:val="single" w:sz="4" w:space="0" w:color="auto"/>
            </w:tcBorders>
            <w:shd w:val="clear" w:color="auto" w:fill="auto"/>
            <w:noWrap/>
            <w:vAlign w:val="bottom"/>
            <w:hideMark/>
          </w:tcPr>
          <w:p w14:paraId="48B6EF0A" w14:textId="77777777" w:rsidR="00CF3957" w:rsidRPr="00EF6B62" w:rsidRDefault="00CF3957" w:rsidP="001E71E3">
            <w:pPr>
              <w:keepNext/>
              <w:rPr>
                <w:sz w:val="16"/>
                <w:szCs w:val="16"/>
              </w:rPr>
            </w:pPr>
            <w:r w:rsidRPr="00EF6B62">
              <w:rPr>
                <w:sz w:val="16"/>
                <w:szCs w:val="16"/>
              </w:rPr>
              <w:t xml:space="preserve">ERSTE EUR 360 </w:t>
            </w:r>
            <w:proofErr w:type="spellStart"/>
            <w:r w:rsidRPr="00EF6B62">
              <w:rPr>
                <w:sz w:val="16"/>
                <w:szCs w:val="16"/>
              </w:rPr>
              <w:t>mil</w:t>
            </w:r>
            <w:proofErr w:type="spellEnd"/>
            <w:r w:rsidRPr="00EF6B62">
              <w:rPr>
                <w:sz w:val="16"/>
                <w:szCs w:val="16"/>
              </w:rPr>
              <w:t>.</w:t>
            </w:r>
          </w:p>
        </w:tc>
        <w:tc>
          <w:tcPr>
            <w:tcW w:w="1185" w:type="dxa"/>
            <w:tcBorders>
              <w:top w:val="nil"/>
              <w:left w:val="nil"/>
              <w:bottom w:val="single" w:sz="4" w:space="0" w:color="auto"/>
              <w:right w:val="single" w:sz="4" w:space="0" w:color="auto"/>
            </w:tcBorders>
            <w:shd w:val="clear" w:color="auto" w:fill="auto"/>
            <w:noWrap/>
            <w:vAlign w:val="bottom"/>
            <w:hideMark/>
          </w:tcPr>
          <w:p w14:paraId="2CFD2940" w14:textId="77777777" w:rsidR="00CF3957" w:rsidRPr="00EF6B62" w:rsidRDefault="00CF3957" w:rsidP="001E71E3">
            <w:pPr>
              <w:keepNext/>
              <w:jc w:val="center"/>
              <w:rPr>
                <w:sz w:val="16"/>
                <w:szCs w:val="16"/>
              </w:rPr>
            </w:pPr>
            <w:r w:rsidRPr="00EF6B62">
              <w:rPr>
                <w:sz w:val="16"/>
                <w:szCs w:val="16"/>
              </w:rPr>
              <w:t xml:space="preserve">Erste </w:t>
            </w:r>
            <w:proofErr w:type="spellStart"/>
            <w:r w:rsidRPr="00EF6B62">
              <w:rPr>
                <w:sz w:val="16"/>
                <w:szCs w:val="16"/>
              </w:rPr>
              <w:t>bank</w:t>
            </w:r>
            <w:proofErr w:type="spellEnd"/>
            <w:r w:rsidRPr="00EF6B62">
              <w:rPr>
                <w:sz w:val="16"/>
                <w:szCs w:val="16"/>
              </w:rPr>
              <w:t xml:space="preserve"> </w:t>
            </w:r>
          </w:p>
        </w:tc>
        <w:tc>
          <w:tcPr>
            <w:tcW w:w="679" w:type="dxa"/>
            <w:tcBorders>
              <w:top w:val="nil"/>
              <w:left w:val="nil"/>
              <w:bottom w:val="single" w:sz="4" w:space="0" w:color="auto"/>
              <w:right w:val="single" w:sz="4" w:space="0" w:color="auto"/>
            </w:tcBorders>
            <w:shd w:val="clear" w:color="auto" w:fill="auto"/>
            <w:noWrap/>
            <w:vAlign w:val="bottom"/>
            <w:hideMark/>
          </w:tcPr>
          <w:p w14:paraId="07245532"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nil"/>
              <w:left w:val="nil"/>
              <w:bottom w:val="single" w:sz="4" w:space="0" w:color="auto"/>
              <w:right w:val="single" w:sz="4" w:space="0" w:color="auto"/>
            </w:tcBorders>
            <w:shd w:val="clear" w:color="auto" w:fill="auto"/>
            <w:noWrap/>
            <w:vAlign w:val="bottom"/>
            <w:hideMark/>
          </w:tcPr>
          <w:p w14:paraId="17E50395" w14:textId="77777777" w:rsidR="00CF3957" w:rsidRPr="00EF6B62" w:rsidRDefault="00CF3957" w:rsidP="001E71E3">
            <w:pPr>
              <w:keepNext/>
              <w:jc w:val="right"/>
              <w:rPr>
                <w:sz w:val="16"/>
                <w:szCs w:val="16"/>
              </w:rPr>
            </w:pPr>
            <w:r w:rsidRPr="00EF6B62">
              <w:rPr>
                <w:sz w:val="16"/>
                <w:szCs w:val="16"/>
              </w:rPr>
              <w:t>324.000.000,00</w:t>
            </w:r>
          </w:p>
        </w:tc>
        <w:tc>
          <w:tcPr>
            <w:tcW w:w="1765" w:type="dxa"/>
            <w:tcBorders>
              <w:top w:val="nil"/>
              <w:left w:val="nil"/>
              <w:bottom w:val="single" w:sz="4" w:space="0" w:color="auto"/>
              <w:right w:val="single" w:sz="4" w:space="0" w:color="auto"/>
            </w:tcBorders>
            <w:shd w:val="clear" w:color="auto" w:fill="auto"/>
            <w:noWrap/>
            <w:vAlign w:val="bottom"/>
            <w:hideMark/>
          </w:tcPr>
          <w:p w14:paraId="47C7293F" w14:textId="77777777" w:rsidR="00CF3957" w:rsidRPr="00EF6B62" w:rsidRDefault="00CF3957" w:rsidP="001E71E3">
            <w:pPr>
              <w:keepNext/>
              <w:jc w:val="right"/>
              <w:rPr>
                <w:sz w:val="16"/>
                <w:szCs w:val="16"/>
              </w:rPr>
            </w:pPr>
            <w:r w:rsidRPr="00EF6B62">
              <w:rPr>
                <w:sz w:val="16"/>
                <w:szCs w:val="16"/>
              </w:rPr>
              <w:t>2.441.178.000,00</w:t>
            </w:r>
          </w:p>
        </w:tc>
      </w:tr>
      <w:tr w:rsidR="00CF3957" w:rsidRPr="00EF6B62" w14:paraId="00824333"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77C00C" w14:textId="77777777" w:rsidR="00CF3957" w:rsidRPr="00EF6B62" w:rsidRDefault="00CF3957" w:rsidP="001E71E3">
            <w:pPr>
              <w:keepNext/>
              <w:jc w:val="center"/>
              <w:rPr>
                <w:sz w:val="16"/>
                <w:szCs w:val="16"/>
              </w:rPr>
            </w:pPr>
            <w:r w:rsidRPr="00EF6B62">
              <w:rPr>
                <w:sz w:val="16"/>
                <w:szCs w:val="16"/>
              </w:rPr>
              <w:t>25.</w:t>
            </w:r>
          </w:p>
        </w:tc>
        <w:tc>
          <w:tcPr>
            <w:tcW w:w="3196" w:type="dxa"/>
            <w:tcBorders>
              <w:top w:val="nil"/>
              <w:left w:val="nil"/>
              <w:bottom w:val="single" w:sz="4" w:space="0" w:color="auto"/>
              <w:right w:val="single" w:sz="4" w:space="0" w:color="auto"/>
            </w:tcBorders>
            <w:shd w:val="clear" w:color="auto" w:fill="auto"/>
            <w:noWrap/>
            <w:vAlign w:val="bottom"/>
            <w:hideMark/>
          </w:tcPr>
          <w:p w14:paraId="1F0F696C" w14:textId="77777777" w:rsidR="00CF3957" w:rsidRPr="00EF6B62" w:rsidRDefault="00CF3957" w:rsidP="001E71E3">
            <w:pPr>
              <w:keepNext/>
              <w:rPr>
                <w:sz w:val="16"/>
                <w:szCs w:val="16"/>
              </w:rPr>
            </w:pPr>
            <w:r w:rsidRPr="00EF6B62">
              <w:rPr>
                <w:sz w:val="16"/>
                <w:szCs w:val="16"/>
              </w:rPr>
              <w:t xml:space="preserve">PBZ EUR 200 </w:t>
            </w:r>
            <w:proofErr w:type="spellStart"/>
            <w:r w:rsidRPr="00EF6B62">
              <w:rPr>
                <w:sz w:val="16"/>
                <w:szCs w:val="16"/>
              </w:rPr>
              <w:t>mil</w:t>
            </w:r>
            <w:proofErr w:type="spellEnd"/>
            <w:r w:rsidRPr="00EF6B62">
              <w:rPr>
                <w:sz w:val="16"/>
                <w:szCs w:val="16"/>
              </w:rPr>
              <w:t>.</w:t>
            </w:r>
          </w:p>
        </w:tc>
        <w:tc>
          <w:tcPr>
            <w:tcW w:w="1185" w:type="dxa"/>
            <w:tcBorders>
              <w:top w:val="nil"/>
              <w:left w:val="nil"/>
              <w:bottom w:val="single" w:sz="4" w:space="0" w:color="auto"/>
              <w:right w:val="single" w:sz="4" w:space="0" w:color="auto"/>
            </w:tcBorders>
            <w:shd w:val="clear" w:color="auto" w:fill="auto"/>
            <w:noWrap/>
            <w:vAlign w:val="bottom"/>
            <w:hideMark/>
          </w:tcPr>
          <w:p w14:paraId="2D4C1EA4" w14:textId="77777777" w:rsidR="00CF3957" w:rsidRPr="00EF6B62" w:rsidRDefault="00CF3957" w:rsidP="001E71E3">
            <w:pPr>
              <w:keepNext/>
              <w:jc w:val="center"/>
              <w:rPr>
                <w:sz w:val="16"/>
                <w:szCs w:val="16"/>
              </w:rPr>
            </w:pPr>
            <w:r w:rsidRPr="00EF6B62">
              <w:rPr>
                <w:sz w:val="16"/>
                <w:szCs w:val="16"/>
              </w:rPr>
              <w:t>PBZ</w:t>
            </w:r>
          </w:p>
        </w:tc>
        <w:tc>
          <w:tcPr>
            <w:tcW w:w="679" w:type="dxa"/>
            <w:tcBorders>
              <w:top w:val="nil"/>
              <w:left w:val="nil"/>
              <w:bottom w:val="single" w:sz="4" w:space="0" w:color="auto"/>
              <w:right w:val="single" w:sz="4" w:space="0" w:color="auto"/>
            </w:tcBorders>
            <w:shd w:val="clear" w:color="auto" w:fill="auto"/>
            <w:noWrap/>
            <w:vAlign w:val="bottom"/>
            <w:hideMark/>
          </w:tcPr>
          <w:p w14:paraId="5C403B37"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nil"/>
              <w:left w:val="nil"/>
              <w:bottom w:val="single" w:sz="4" w:space="0" w:color="auto"/>
              <w:right w:val="single" w:sz="4" w:space="0" w:color="auto"/>
            </w:tcBorders>
            <w:shd w:val="clear" w:color="auto" w:fill="auto"/>
            <w:noWrap/>
            <w:vAlign w:val="bottom"/>
            <w:hideMark/>
          </w:tcPr>
          <w:p w14:paraId="272C8B51" w14:textId="77777777" w:rsidR="00CF3957" w:rsidRPr="00EF6B62" w:rsidRDefault="00CF3957" w:rsidP="001E71E3">
            <w:pPr>
              <w:keepNext/>
              <w:jc w:val="right"/>
              <w:rPr>
                <w:sz w:val="16"/>
                <w:szCs w:val="16"/>
              </w:rPr>
            </w:pPr>
            <w:r w:rsidRPr="00EF6B62">
              <w:rPr>
                <w:sz w:val="16"/>
                <w:szCs w:val="16"/>
              </w:rPr>
              <w:t>175.000.000,00</w:t>
            </w:r>
          </w:p>
        </w:tc>
        <w:tc>
          <w:tcPr>
            <w:tcW w:w="1765" w:type="dxa"/>
            <w:tcBorders>
              <w:top w:val="nil"/>
              <w:left w:val="nil"/>
              <w:bottom w:val="single" w:sz="4" w:space="0" w:color="auto"/>
              <w:right w:val="single" w:sz="4" w:space="0" w:color="auto"/>
            </w:tcBorders>
            <w:shd w:val="clear" w:color="auto" w:fill="auto"/>
            <w:noWrap/>
            <w:vAlign w:val="bottom"/>
            <w:hideMark/>
          </w:tcPr>
          <w:p w14:paraId="72E97033" w14:textId="77777777" w:rsidR="00CF3957" w:rsidRPr="00EF6B62" w:rsidRDefault="00CF3957" w:rsidP="001E71E3">
            <w:pPr>
              <w:keepNext/>
              <w:jc w:val="right"/>
              <w:rPr>
                <w:sz w:val="16"/>
                <w:szCs w:val="16"/>
              </w:rPr>
            </w:pPr>
            <w:r w:rsidRPr="00EF6B62">
              <w:rPr>
                <w:sz w:val="16"/>
                <w:szCs w:val="16"/>
              </w:rPr>
              <w:t>1.318.537.500,00</w:t>
            </w:r>
          </w:p>
        </w:tc>
      </w:tr>
      <w:tr w:rsidR="00CF3957" w:rsidRPr="00EF6B62" w14:paraId="457CF8D7"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58B9F2" w14:textId="77777777" w:rsidR="00CF3957" w:rsidRPr="00EF6B62" w:rsidRDefault="00CF3957" w:rsidP="001E71E3">
            <w:pPr>
              <w:keepNext/>
              <w:jc w:val="center"/>
              <w:rPr>
                <w:sz w:val="16"/>
                <w:szCs w:val="16"/>
              </w:rPr>
            </w:pPr>
            <w:r w:rsidRPr="00EF6B62">
              <w:rPr>
                <w:sz w:val="16"/>
                <w:szCs w:val="16"/>
              </w:rPr>
              <w:t>26.</w:t>
            </w:r>
          </w:p>
        </w:tc>
        <w:tc>
          <w:tcPr>
            <w:tcW w:w="3196" w:type="dxa"/>
            <w:tcBorders>
              <w:top w:val="nil"/>
              <w:left w:val="nil"/>
              <w:bottom w:val="single" w:sz="4" w:space="0" w:color="auto"/>
              <w:right w:val="single" w:sz="4" w:space="0" w:color="auto"/>
            </w:tcBorders>
            <w:shd w:val="clear" w:color="auto" w:fill="auto"/>
            <w:noWrap/>
            <w:vAlign w:val="bottom"/>
            <w:hideMark/>
          </w:tcPr>
          <w:p w14:paraId="06E23829" w14:textId="77777777" w:rsidR="00CF3957" w:rsidRPr="00EF6B62" w:rsidRDefault="00CF3957" w:rsidP="001E71E3">
            <w:pPr>
              <w:keepNext/>
              <w:rPr>
                <w:sz w:val="16"/>
                <w:szCs w:val="16"/>
              </w:rPr>
            </w:pPr>
            <w:proofErr w:type="spellStart"/>
            <w:r w:rsidRPr="00EF6B62">
              <w:rPr>
                <w:sz w:val="16"/>
                <w:szCs w:val="16"/>
              </w:rPr>
              <w:t>Raiffeisenbank</w:t>
            </w:r>
            <w:proofErr w:type="spellEnd"/>
            <w:r w:rsidRPr="00EF6B62">
              <w:rPr>
                <w:sz w:val="16"/>
                <w:szCs w:val="16"/>
              </w:rPr>
              <w:t xml:space="preserve"> EUR 120 </w:t>
            </w:r>
            <w:proofErr w:type="spellStart"/>
            <w:r w:rsidRPr="00EF6B62">
              <w:rPr>
                <w:sz w:val="16"/>
                <w:szCs w:val="16"/>
              </w:rPr>
              <w:t>mil</w:t>
            </w:r>
            <w:proofErr w:type="spellEnd"/>
            <w:r w:rsidRPr="00EF6B62">
              <w:rPr>
                <w:sz w:val="16"/>
                <w:szCs w:val="16"/>
              </w:rPr>
              <w:t>.</w:t>
            </w:r>
          </w:p>
        </w:tc>
        <w:tc>
          <w:tcPr>
            <w:tcW w:w="1185" w:type="dxa"/>
            <w:tcBorders>
              <w:top w:val="nil"/>
              <w:left w:val="nil"/>
              <w:bottom w:val="single" w:sz="4" w:space="0" w:color="auto"/>
              <w:right w:val="single" w:sz="4" w:space="0" w:color="auto"/>
            </w:tcBorders>
            <w:shd w:val="clear" w:color="auto" w:fill="auto"/>
            <w:noWrap/>
            <w:vAlign w:val="bottom"/>
            <w:hideMark/>
          </w:tcPr>
          <w:p w14:paraId="2F912133" w14:textId="77777777" w:rsidR="00CF3957" w:rsidRPr="00EF6B62" w:rsidRDefault="00CF3957" w:rsidP="001E71E3">
            <w:pPr>
              <w:keepNext/>
              <w:jc w:val="center"/>
              <w:rPr>
                <w:sz w:val="16"/>
                <w:szCs w:val="16"/>
              </w:rPr>
            </w:pPr>
            <w:proofErr w:type="spellStart"/>
            <w:r w:rsidRPr="00EF6B62">
              <w:rPr>
                <w:sz w:val="16"/>
                <w:szCs w:val="16"/>
              </w:rPr>
              <w:t>Raiffeisenbank</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14:paraId="6DB3685F"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nil"/>
              <w:left w:val="nil"/>
              <w:bottom w:val="single" w:sz="4" w:space="0" w:color="auto"/>
              <w:right w:val="single" w:sz="4" w:space="0" w:color="auto"/>
            </w:tcBorders>
            <w:shd w:val="clear" w:color="auto" w:fill="auto"/>
            <w:noWrap/>
            <w:vAlign w:val="bottom"/>
            <w:hideMark/>
          </w:tcPr>
          <w:p w14:paraId="16B7E79B" w14:textId="77777777" w:rsidR="00CF3957" w:rsidRPr="00EF6B62" w:rsidRDefault="00CF3957" w:rsidP="001E71E3">
            <w:pPr>
              <w:keepNext/>
              <w:jc w:val="right"/>
              <w:rPr>
                <w:sz w:val="16"/>
                <w:szCs w:val="16"/>
              </w:rPr>
            </w:pPr>
            <w:r w:rsidRPr="00EF6B62">
              <w:rPr>
                <w:sz w:val="16"/>
                <w:szCs w:val="16"/>
              </w:rPr>
              <w:t>105.000.000,00</w:t>
            </w:r>
          </w:p>
        </w:tc>
        <w:tc>
          <w:tcPr>
            <w:tcW w:w="1765" w:type="dxa"/>
            <w:tcBorders>
              <w:top w:val="nil"/>
              <w:left w:val="nil"/>
              <w:bottom w:val="single" w:sz="4" w:space="0" w:color="auto"/>
              <w:right w:val="single" w:sz="4" w:space="0" w:color="auto"/>
            </w:tcBorders>
            <w:shd w:val="clear" w:color="auto" w:fill="auto"/>
            <w:noWrap/>
            <w:vAlign w:val="bottom"/>
            <w:hideMark/>
          </w:tcPr>
          <w:p w14:paraId="283CF482" w14:textId="77777777" w:rsidR="00CF3957" w:rsidRPr="00EF6B62" w:rsidRDefault="00CF3957" w:rsidP="001E71E3">
            <w:pPr>
              <w:keepNext/>
              <w:jc w:val="right"/>
              <w:rPr>
                <w:sz w:val="16"/>
                <w:szCs w:val="16"/>
              </w:rPr>
            </w:pPr>
            <w:r w:rsidRPr="00EF6B62">
              <w:rPr>
                <w:sz w:val="16"/>
                <w:szCs w:val="16"/>
              </w:rPr>
              <w:t>791.122.500,00</w:t>
            </w:r>
          </w:p>
        </w:tc>
      </w:tr>
      <w:tr w:rsidR="00CF3957" w:rsidRPr="00EF6B62" w14:paraId="7E5DD407"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63333C" w14:textId="77777777" w:rsidR="00CF3957" w:rsidRPr="00EF6B62" w:rsidRDefault="00CF3957" w:rsidP="001E71E3">
            <w:pPr>
              <w:keepNext/>
              <w:jc w:val="center"/>
              <w:rPr>
                <w:sz w:val="16"/>
                <w:szCs w:val="16"/>
              </w:rPr>
            </w:pPr>
            <w:r w:rsidRPr="00EF6B62">
              <w:rPr>
                <w:sz w:val="16"/>
                <w:szCs w:val="16"/>
              </w:rPr>
              <w:t>27.</w:t>
            </w:r>
          </w:p>
        </w:tc>
        <w:tc>
          <w:tcPr>
            <w:tcW w:w="3196" w:type="dxa"/>
            <w:tcBorders>
              <w:top w:val="nil"/>
              <w:left w:val="nil"/>
              <w:bottom w:val="single" w:sz="4" w:space="0" w:color="auto"/>
              <w:right w:val="single" w:sz="4" w:space="0" w:color="auto"/>
            </w:tcBorders>
            <w:shd w:val="clear" w:color="auto" w:fill="auto"/>
            <w:noWrap/>
            <w:vAlign w:val="bottom"/>
            <w:hideMark/>
          </w:tcPr>
          <w:p w14:paraId="06B16A8E" w14:textId="77777777" w:rsidR="00CF3957" w:rsidRPr="00EF6B62" w:rsidRDefault="00CF3957" w:rsidP="001E71E3">
            <w:pPr>
              <w:keepNext/>
              <w:rPr>
                <w:sz w:val="16"/>
                <w:szCs w:val="16"/>
              </w:rPr>
            </w:pPr>
            <w:proofErr w:type="spellStart"/>
            <w:r w:rsidRPr="00EF6B62">
              <w:rPr>
                <w:sz w:val="16"/>
                <w:szCs w:val="16"/>
              </w:rPr>
              <w:t>Raiffeisenbank</w:t>
            </w:r>
            <w:proofErr w:type="spellEnd"/>
            <w:r w:rsidRPr="00EF6B62">
              <w:rPr>
                <w:sz w:val="16"/>
                <w:szCs w:val="16"/>
              </w:rPr>
              <w:t xml:space="preserve"> EUR 150 </w:t>
            </w:r>
            <w:proofErr w:type="spellStart"/>
            <w:r w:rsidRPr="00EF6B62">
              <w:rPr>
                <w:sz w:val="16"/>
                <w:szCs w:val="16"/>
              </w:rPr>
              <w:t>mil</w:t>
            </w:r>
            <w:proofErr w:type="spellEnd"/>
            <w:r w:rsidRPr="00EF6B62">
              <w:rPr>
                <w:sz w:val="16"/>
                <w:szCs w:val="16"/>
              </w:rPr>
              <w:t>. D-2026</w:t>
            </w:r>
          </w:p>
        </w:tc>
        <w:tc>
          <w:tcPr>
            <w:tcW w:w="1185" w:type="dxa"/>
            <w:tcBorders>
              <w:top w:val="nil"/>
              <w:left w:val="nil"/>
              <w:bottom w:val="single" w:sz="4" w:space="0" w:color="auto"/>
              <w:right w:val="single" w:sz="4" w:space="0" w:color="auto"/>
            </w:tcBorders>
            <w:shd w:val="clear" w:color="auto" w:fill="auto"/>
            <w:noWrap/>
            <w:vAlign w:val="bottom"/>
            <w:hideMark/>
          </w:tcPr>
          <w:p w14:paraId="5F517053" w14:textId="77777777" w:rsidR="00CF3957" w:rsidRPr="00EF6B62" w:rsidRDefault="00CF3957" w:rsidP="001E71E3">
            <w:pPr>
              <w:keepNext/>
              <w:jc w:val="center"/>
              <w:rPr>
                <w:sz w:val="16"/>
                <w:szCs w:val="16"/>
              </w:rPr>
            </w:pPr>
            <w:proofErr w:type="spellStart"/>
            <w:r w:rsidRPr="00EF6B62">
              <w:rPr>
                <w:sz w:val="16"/>
                <w:szCs w:val="16"/>
              </w:rPr>
              <w:t>Raiffeisenbank</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14:paraId="524EF678"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nil"/>
              <w:left w:val="nil"/>
              <w:bottom w:val="single" w:sz="4" w:space="0" w:color="auto"/>
              <w:right w:val="single" w:sz="4" w:space="0" w:color="auto"/>
            </w:tcBorders>
            <w:shd w:val="clear" w:color="auto" w:fill="auto"/>
            <w:noWrap/>
            <w:vAlign w:val="bottom"/>
            <w:hideMark/>
          </w:tcPr>
          <w:p w14:paraId="3A523D06" w14:textId="77777777" w:rsidR="00CF3957" w:rsidRPr="00EF6B62" w:rsidRDefault="00CF3957" w:rsidP="001E71E3">
            <w:pPr>
              <w:keepNext/>
              <w:jc w:val="right"/>
              <w:rPr>
                <w:sz w:val="16"/>
                <w:szCs w:val="16"/>
              </w:rPr>
            </w:pPr>
            <w:r w:rsidRPr="00EF6B62">
              <w:rPr>
                <w:sz w:val="16"/>
                <w:szCs w:val="16"/>
              </w:rPr>
              <w:t>150.000.000,00</w:t>
            </w:r>
          </w:p>
        </w:tc>
        <w:tc>
          <w:tcPr>
            <w:tcW w:w="1765" w:type="dxa"/>
            <w:tcBorders>
              <w:top w:val="nil"/>
              <w:left w:val="nil"/>
              <w:bottom w:val="single" w:sz="4" w:space="0" w:color="auto"/>
              <w:right w:val="single" w:sz="4" w:space="0" w:color="auto"/>
            </w:tcBorders>
            <w:shd w:val="clear" w:color="auto" w:fill="auto"/>
            <w:noWrap/>
            <w:vAlign w:val="bottom"/>
            <w:hideMark/>
          </w:tcPr>
          <w:p w14:paraId="7FFBEA70" w14:textId="77777777" w:rsidR="00CF3957" w:rsidRPr="00EF6B62" w:rsidRDefault="00CF3957" w:rsidP="001E71E3">
            <w:pPr>
              <w:keepNext/>
              <w:jc w:val="right"/>
              <w:rPr>
                <w:sz w:val="16"/>
                <w:szCs w:val="16"/>
              </w:rPr>
            </w:pPr>
            <w:r w:rsidRPr="00EF6B62">
              <w:rPr>
                <w:sz w:val="16"/>
                <w:szCs w:val="16"/>
              </w:rPr>
              <w:t>1.130.175.000,00</w:t>
            </w:r>
          </w:p>
        </w:tc>
      </w:tr>
      <w:tr w:rsidR="00CF3957" w:rsidRPr="00EF6B62" w14:paraId="2ED2714F" w14:textId="77777777" w:rsidTr="001E71E3">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9C0ECB" w14:textId="77777777" w:rsidR="00CF3957" w:rsidRPr="00EF6B62" w:rsidRDefault="00CF3957" w:rsidP="001E71E3">
            <w:pPr>
              <w:keepNext/>
              <w:jc w:val="center"/>
              <w:rPr>
                <w:sz w:val="16"/>
                <w:szCs w:val="16"/>
              </w:rPr>
            </w:pPr>
            <w:r w:rsidRPr="00EF6B62">
              <w:rPr>
                <w:sz w:val="16"/>
                <w:szCs w:val="16"/>
              </w:rPr>
              <w:t>28.</w:t>
            </w:r>
          </w:p>
        </w:tc>
        <w:tc>
          <w:tcPr>
            <w:tcW w:w="3196" w:type="dxa"/>
            <w:tcBorders>
              <w:top w:val="nil"/>
              <w:left w:val="nil"/>
              <w:bottom w:val="single" w:sz="4" w:space="0" w:color="auto"/>
              <w:right w:val="single" w:sz="4" w:space="0" w:color="auto"/>
            </w:tcBorders>
            <w:shd w:val="clear" w:color="auto" w:fill="auto"/>
            <w:noWrap/>
            <w:vAlign w:val="bottom"/>
            <w:hideMark/>
          </w:tcPr>
          <w:p w14:paraId="2DF0847F" w14:textId="77777777" w:rsidR="00CF3957" w:rsidRPr="00EF6B62" w:rsidRDefault="00CF3957" w:rsidP="001E71E3">
            <w:pPr>
              <w:keepNext/>
              <w:rPr>
                <w:sz w:val="16"/>
                <w:szCs w:val="16"/>
              </w:rPr>
            </w:pPr>
            <w:r w:rsidRPr="00EF6B62">
              <w:rPr>
                <w:sz w:val="16"/>
                <w:szCs w:val="16"/>
              </w:rPr>
              <w:t xml:space="preserve">ZABA EUR 200 </w:t>
            </w:r>
            <w:proofErr w:type="spellStart"/>
            <w:r w:rsidRPr="00EF6B62">
              <w:rPr>
                <w:sz w:val="16"/>
                <w:szCs w:val="16"/>
              </w:rPr>
              <w:t>mil</w:t>
            </w:r>
            <w:proofErr w:type="spellEnd"/>
            <w:r w:rsidRPr="00EF6B62">
              <w:rPr>
                <w:sz w:val="16"/>
                <w:szCs w:val="16"/>
              </w:rPr>
              <w:t>. D-2027</w:t>
            </w:r>
          </w:p>
        </w:tc>
        <w:tc>
          <w:tcPr>
            <w:tcW w:w="1185" w:type="dxa"/>
            <w:tcBorders>
              <w:top w:val="nil"/>
              <w:left w:val="nil"/>
              <w:bottom w:val="single" w:sz="4" w:space="0" w:color="auto"/>
              <w:right w:val="nil"/>
            </w:tcBorders>
            <w:shd w:val="clear" w:color="auto" w:fill="auto"/>
            <w:noWrap/>
            <w:vAlign w:val="bottom"/>
            <w:hideMark/>
          </w:tcPr>
          <w:p w14:paraId="7F17D4A0" w14:textId="77777777" w:rsidR="00CF3957" w:rsidRPr="00EF6B62" w:rsidRDefault="00CF3957" w:rsidP="001E71E3">
            <w:pPr>
              <w:keepNext/>
              <w:jc w:val="center"/>
              <w:rPr>
                <w:sz w:val="16"/>
                <w:szCs w:val="16"/>
              </w:rPr>
            </w:pPr>
            <w:r w:rsidRPr="00EF6B62">
              <w:rPr>
                <w:sz w:val="16"/>
                <w:szCs w:val="16"/>
              </w:rPr>
              <w:t>ZABA</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044EBD2" w14:textId="77777777" w:rsidR="00CF3957" w:rsidRPr="00EF6B62" w:rsidRDefault="00CF3957" w:rsidP="001E71E3">
            <w:pPr>
              <w:keepNext/>
              <w:jc w:val="center"/>
              <w:rPr>
                <w:sz w:val="16"/>
                <w:szCs w:val="16"/>
              </w:rPr>
            </w:pPr>
            <w:r w:rsidRPr="00EF6B62">
              <w:rPr>
                <w:sz w:val="16"/>
                <w:szCs w:val="16"/>
              </w:rPr>
              <w:t>EUR</w:t>
            </w:r>
          </w:p>
        </w:tc>
        <w:tc>
          <w:tcPr>
            <w:tcW w:w="1765" w:type="dxa"/>
            <w:tcBorders>
              <w:top w:val="nil"/>
              <w:left w:val="nil"/>
              <w:bottom w:val="single" w:sz="4" w:space="0" w:color="auto"/>
              <w:right w:val="single" w:sz="4" w:space="0" w:color="auto"/>
            </w:tcBorders>
            <w:shd w:val="clear" w:color="auto" w:fill="auto"/>
            <w:noWrap/>
            <w:vAlign w:val="bottom"/>
            <w:hideMark/>
          </w:tcPr>
          <w:p w14:paraId="7F17AE21" w14:textId="77777777" w:rsidR="00CF3957" w:rsidRPr="00EF6B62" w:rsidRDefault="00CF3957" w:rsidP="001E71E3">
            <w:pPr>
              <w:keepNext/>
              <w:jc w:val="right"/>
              <w:rPr>
                <w:sz w:val="16"/>
                <w:szCs w:val="16"/>
              </w:rPr>
            </w:pPr>
            <w:r w:rsidRPr="00EF6B62">
              <w:rPr>
                <w:sz w:val="16"/>
                <w:szCs w:val="16"/>
              </w:rPr>
              <w:t>200.000.000,00</w:t>
            </w:r>
          </w:p>
        </w:tc>
        <w:tc>
          <w:tcPr>
            <w:tcW w:w="1765" w:type="dxa"/>
            <w:tcBorders>
              <w:top w:val="nil"/>
              <w:left w:val="nil"/>
              <w:bottom w:val="single" w:sz="4" w:space="0" w:color="auto"/>
              <w:right w:val="single" w:sz="4" w:space="0" w:color="auto"/>
            </w:tcBorders>
            <w:shd w:val="clear" w:color="auto" w:fill="auto"/>
            <w:noWrap/>
            <w:vAlign w:val="bottom"/>
            <w:hideMark/>
          </w:tcPr>
          <w:p w14:paraId="4A8015D5" w14:textId="77777777" w:rsidR="00CF3957" w:rsidRPr="00EF6B62" w:rsidRDefault="00CF3957" w:rsidP="001E71E3">
            <w:pPr>
              <w:keepNext/>
              <w:jc w:val="right"/>
              <w:rPr>
                <w:sz w:val="16"/>
                <w:szCs w:val="16"/>
              </w:rPr>
            </w:pPr>
            <w:r w:rsidRPr="00EF6B62">
              <w:rPr>
                <w:sz w:val="16"/>
                <w:szCs w:val="16"/>
              </w:rPr>
              <w:t>1.506.900.000,00</w:t>
            </w:r>
          </w:p>
        </w:tc>
      </w:tr>
      <w:tr w:rsidR="00CF3957" w:rsidRPr="00EF6B62" w14:paraId="17D3905D" w14:textId="77777777" w:rsidTr="001E71E3">
        <w:trPr>
          <w:trHeight w:val="27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1B0E0" w14:textId="77777777" w:rsidR="00CF3957" w:rsidRPr="00EF6B62" w:rsidRDefault="00CF3957" w:rsidP="001E71E3">
            <w:pPr>
              <w:keepNext/>
              <w:jc w:val="center"/>
              <w:rPr>
                <w:b/>
                <w:bCs/>
                <w:sz w:val="16"/>
                <w:szCs w:val="16"/>
              </w:rPr>
            </w:pPr>
          </w:p>
        </w:tc>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5EAA" w14:textId="77777777" w:rsidR="00CF3957" w:rsidRPr="00EF6B62" w:rsidRDefault="00CF3957" w:rsidP="001E71E3">
            <w:pPr>
              <w:keepNext/>
              <w:rPr>
                <w:sz w:val="16"/>
                <w:szCs w:val="16"/>
              </w:rPr>
            </w:pPr>
            <w:r w:rsidRPr="00EF6B62">
              <w:rPr>
                <w:sz w:val="16"/>
                <w:szCs w:val="16"/>
              </w:rPr>
              <w:t> </w:t>
            </w:r>
            <w:r w:rsidRPr="00EF6B62">
              <w:rPr>
                <w:b/>
                <w:bCs/>
                <w:sz w:val="16"/>
                <w:szCs w:val="16"/>
              </w:rPr>
              <w:t>UKUPNO</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B58B4" w14:textId="77777777" w:rsidR="00CF3957" w:rsidRPr="00EF6B62" w:rsidRDefault="00CF3957" w:rsidP="001E71E3">
            <w:pPr>
              <w:keepNext/>
              <w:rPr>
                <w:sz w:val="16"/>
                <w:szCs w:val="16"/>
              </w:rPr>
            </w:pPr>
            <w:r w:rsidRPr="00EF6B62">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CD06" w14:textId="77777777" w:rsidR="00CF3957" w:rsidRPr="00EF6B62" w:rsidRDefault="00CF3957" w:rsidP="001E71E3">
            <w:pPr>
              <w:keepNext/>
              <w:jc w:val="center"/>
              <w:rPr>
                <w:b/>
                <w:bCs/>
                <w:sz w:val="16"/>
                <w:szCs w:val="16"/>
              </w:rPr>
            </w:pPr>
            <w:r w:rsidRPr="00EF6B62">
              <w:rPr>
                <w:b/>
                <w:bCs/>
                <w:sz w:val="16"/>
                <w:szCs w:val="16"/>
              </w:rPr>
              <w:t>EUR</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46500" w14:textId="77777777" w:rsidR="00CF3957" w:rsidRPr="00EF6B62" w:rsidRDefault="00CF3957" w:rsidP="001E71E3">
            <w:pPr>
              <w:keepNext/>
              <w:jc w:val="right"/>
              <w:rPr>
                <w:b/>
                <w:bCs/>
                <w:sz w:val="16"/>
                <w:szCs w:val="16"/>
              </w:rPr>
            </w:pPr>
            <w:r w:rsidRPr="00EF6B62">
              <w:rPr>
                <w:b/>
                <w:bCs/>
                <w:sz w:val="16"/>
                <w:szCs w:val="16"/>
              </w:rPr>
              <w:t>1.391.595.022,62</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39ABA" w14:textId="77777777" w:rsidR="00CF3957" w:rsidRPr="00EF6B62" w:rsidRDefault="00CF3957" w:rsidP="001E71E3">
            <w:pPr>
              <w:keepNext/>
              <w:jc w:val="right"/>
              <w:rPr>
                <w:b/>
                <w:bCs/>
                <w:sz w:val="16"/>
                <w:szCs w:val="16"/>
              </w:rPr>
            </w:pPr>
            <w:r w:rsidRPr="00EF6B62">
              <w:rPr>
                <w:b/>
                <w:bCs/>
                <w:sz w:val="16"/>
                <w:szCs w:val="16"/>
              </w:rPr>
              <w:t>10.484.972.697,93</w:t>
            </w:r>
          </w:p>
        </w:tc>
      </w:tr>
      <w:tr w:rsidR="00CF3957" w:rsidRPr="00EF6B62" w14:paraId="4C97CAC7" w14:textId="77777777" w:rsidTr="001E71E3">
        <w:trPr>
          <w:trHeight w:val="27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5FB81" w14:textId="77777777" w:rsidR="00CF3957" w:rsidRPr="00EF6B62" w:rsidRDefault="00CF3957" w:rsidP="001E71E3">
            <w:pPr>
              <w:keepNext/>
              <w:jc w:val="center"/>
              <w:rPr>
                <w:b/>
                <w:bCs/>
                <w:sz w:val="16"/>
                <w:szCs w:val="16"/>
              </w:rPr>
            </w:pPr>
          </w:p>
        </w:tc>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54C9" w14:textId="77777777" w:rsidR="00CF3957" w:rsidRPr="00EF6B62" w:rsidRDefault="00CF3957" w:rsidP="001E71E3">
            <w:pPr>
              <w:keepNext/>
              <w:rPr>
                <w:sz w:val="16"/>
                <w:szCs w:val="16"/>
              </w:rPr>
            </w:pPr>
            <w:r w:rsidRPr="00EF6B62">
              <w:rPr>
                <w:sz w:val="16"/>
                <w:szCs w:val="16"/>
              </w:rPr>
              <w:t> </w:t>
            </w:r>
            <w:r w:rsidRPr="00EF6B62">
              <w:rPr>
                <w:b/>
                <w:bCs/>
                <w:sz w:val="16"/>
                <w:szCs w:val="16"/>
              </w:rPr>
              <w:t>UKUPNO</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78374" w14:textId="77777777" w:rsidR="00CF3957" w:rsidRPr="00EF6B62" w:rsidRDefault="00CF3957" w:rsidP="001E71E3">
            <w:pPr>
              <w:keepNext/>
              <w:rPr>
                <w:sz w:val="16"/>
                <w:szCs w:val="16"/>
              </w:rPr>
            </w:pPr>
            <w:r w:rsidRPr="00EF6B62">
              <w:rPr>
                <w:sz w:val="16"/>
                <w:szCs w:val="16"/>
              </w:rPr>
              <w:t>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CA36" w14:textId="77777777" w:rsidR="00CF3957" w:rsidRPr="00EF6B62" w:rsidRDefault="00CF3957" w:rsidP="001E71E3">
            <w:pPr>
              <w:keepNext/>
              <w:jc w:val="center"/>
              <w:rPr>
                <w:b/>
                <w:bCs/>
                <w:sz w:val="16"/>
                <w:szCs w:val="16"/>
              </w:rPr>
            </w:pPr>
            <w:r w:rsidRPr="00EF6B62">
              <w:rPr>
                <w:b/>
                <w:bCs/>
                <w:sz w:val="16"/>
                <w:szCs w:val="16"/>
              </w:rPr>
              <w:t>HRK</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C67FC" w14:textId="77777777" w:rsidR="00CF3957" w:rsidRPr="00EF6B62" w:rsidRDefault="00CF3957" w:rsidP="001E71E3">
            <w:pPr>
              <w:keepNext/>
              <w:jc w:val="right"/>
              <w:rPr>
                <w:b/>
                <w:bCs/>
                <w:sz w:val="16"/>
                <w:szCs w:val="16"/>
              </w:rPr>
            </w:pPr>
            <w:r w:rsidRPr="00EF6B62">
              <w:rPr>
                <w:b/>
                <w:bCs/>
                <w:sz w:val="16"/>
                <w:szCs w:val="16"/>
              </w:rPr>
              <w:t>10.339.647.41</w:t>
            </w:r>
            <w:r>
              <w:rPr>
                <w:b/>
                <w:bCs/>
                <w:sz w:val="16"/>
                <w:szCs w:val="16"/>
              </w:rPr>
              <w:t>9</w:t>
            </w:r>
            <w:r w:rsidRPr="00EF6B62">
              <w:rPr>
                <w:b/>
                <w:bCs/>
                <w:sz w:val="16"/>
                <w:szCs w:val="16"/>
              </w:rPr>
              <w:t>,</w:t>
            </w:r>
            <w:r>
              <w:rPr>
                <w:b/>
                <w:bCs/>
                <w:sz w:val="16"/>
                <w:szCs w:val="16"/>
              </w:rPr>
              <w:t>10</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E1DBE" w14:textId="77777777" w:rsidR="00CF3957" w:rsidRPr="00EF6B62" w:rsidRDefault="00CF3957" w:rsidP="001E71E3">
            <w:pPr>
              <w:keepNext/>
              <w:jc w:val="right"/>
              <w:rPr>
                <w:b/>
                <w:bCs/>
                <w:sz w:val="16"/>
                <w:szCs w:val="16"/>
              </w:rPr>
            </w:pPr>
            <w:r w:rsidRPr="00EF6B62">
              <w:rPr>
                <w:b/>
                <w:bCs/>
                <w:sz w:val="16"/>
                <w:szCs w:val="16"/>
              </w:rPr>
              <w:t>10.339.647.41</w:t>
            </w:r>
            <w:r>
              <w:rPr>
                <w:b/>
                <w:bCs/>
                <w:sz w:val="16"/>
                <w:szCs w:val="16"/>
              </w:rPr>
              <w:t>9</w:t>
            </w:r>
            <w:r w:rsidRPr="00EF6B62">
              <w:rPr>
                <w:b/>
                <w:bCs/>
                <w:sz w:val="16"/>
                <w:szCs w:val="16"/>
              </w:rPr>
              <w:t>,</w:t>
            </w:r>
            <w:r>
              <w:rPr>
                <w:b/>
                <w:bCs/>
                <w:sz w:val="16"/>
                <w:szCs w:val="16"/>
              </w:rPr>
              <w:t>10</w:t>
            </w:r>
          </w:p>
        </w:tc>
      </w:tr>
      <w:tr w:rsidR="00CF3957" w:rsidRPr="00EF6B62" w14:paraId="7F6C1E4E" w14:textId="77777777" w:rsidTr="001E71E3">
        <w:trPr>
          <w:trHeight w:val="285"/>
        </w:trPr>
        <w:tc>
          <w:tcPr>
            <w:tcW w:w="562" w:type="dxa"/>
            <w:tcBorders>
              <w:top w:val="single" w:sz="4" w:space="0" w:color="auto"/>
            </w:tcBorders>
            <w:shd w:val="clear" w:color="auto" w:fill="auto"/>
            <w:noWrap/>
            <w:vAlign w:val="bottom"/>
            <w:hideMark/>
          </w:tcPr>
          <w:p w14:paraId="764B1C71" w14:textId="77777777" w:rsidR="00CF3957" w:rsidRPr="00EF6B62" w:rsidRDefault="00CF3957" w:rsidP="001E71E3">
            <w:pPr>
              <w:keepNext/>
              <w:rPr>
                <w:rFonts w:ascii="Arial" w:hAnsi="Arial" w:cs="Arial"/>
                <w:sz w:val="20"/>
                <w:szCs w:val="20"/>
              </w:rPr>
            </w:pPr>
            <w:r w:rsidRPr="00EF6B62">
              <w:rPr>
                <w:rFonts w:ascii="Arial" w:hAnsi="Arial" w:cs="Arial"/>
                <w:sz w:val="20"/>
                <w:szCs w:val="20"/>
              </w:rPr>
              <w:t> </w:t>
            </w:r>
          </w:p>
        </w:tc>
        <w:tc>
          <w:tcPr>
            <w:tcW w:w="3196" w:type="dxa"/>
            <w:tcBorders>
              <w:top w:val="single" w:sz="4" w:space="0" w:color="auto"/>
            </w:tcBorders>
            <w:shd w:val="clear" w:color="auto" w:fill="auto"/>
            <w:noWrap/>
            <w:vAlign w:val="bottom"/>
            <w:hideMark/>
          </w:tcPr>
          <w:p w14:paraId="3A8F0753" w14:textId="77777777" w:rsidR="00CF3957" w:rsidRPr="00EF6B62" w:rsidRDefault="00CF3957" w:rsidP="001E71E3">
            <w:pPr>
              <w:keepNext/>
              <w:rPr>
                <w:rFonts w:ascii="Arial" w:hAnsi="Arial" w:cs="Arial"/>
                <w:sz w:val="20"/>
                <w:szCs w:val="20"/>
              </w:rPr>
            </w:pPr>
            <w:r w:rsidRPr="00EF6B62">
              <w:rPr>
                <w:rFonts w:ascii="Arial" w:hAnsi="Arial" w:cs="Arial"/>
                <w:sz w:val="20"/>
                <w:szCs w:val="20"/>
              </w:rPr>
              <w:t> </w:t>
            </w:r>
          </w:p>
        </w:tc>
        <w:tc>
          <w:tcPr>
            <w:tcW w:w="1185" w:type="dxa"/>
            <w:tcBorders>
              <w:top w:val="single" w:sz="4" w:space="0" w:color="auto"/>
            </w:tcBorders>
            <w:shd w:val="clear" w:color="auto" w:fill="auto"/>
            <w:noWrap/>
            <w:vAlign w:val="bottom"/>
            <w:hideMark/>
          </w:tcPr>
          <w:p w14:paraId="1C18C0C3" w14:textId="77777777" w:rsidR="00CF3957" w:rsidRPr="00EF6B62" w:rsidRDefault="00CF3957" w:rsidP="001E71E3">
            <w:pPr>
              <w:keepNext/>
              <w:rPr>
                <w:rFonts w:ascii="Arial" w:hAnsi="Arial" w:cs="Arial"/>
                <w:sz w:val="20"/>
                <w:szCs w:val="20"/>
              </w:rPr>
            </w:pPr>
            <w:r w:rsidRPr="00EF6B62">
              <w:rPr>
                <w:rFonts w:ascii="Arial" w:hAnsi="Arial" w:cs="Arial"/>
                <w:sz w:val="20"/>
                <w:szCs w:val="20"/>
              </w:rPr>
              <w:t> </w:t>
            </w:r>
          </w:p>
        </w:tc>
        <w:tc>
          <w:tcPr>
            <w:tcW w:w="679" w:type="dxa"/>
            <w:tcBorders>
              <w:top w:val="single" w:sz="4" w:space="0" w:color="auto"/>
            </w:tcBorders>
            <w:shd w:val="clear" w:color="auto" w:fill="auto"/>
            <w:noWrap/>
            <w:vAlign w:val="bottom"/>
            <w:hideMark/>
          </w:tcPr>
          <w:p w14:paraId="7CA7C8DC" w14:textId="77777777" w:rsidR="00CF3957" w:rsidRPr="00EF6B62" w:rsidRDefault="00CF3957" w:rsidP="001E71E3">
            <w:pPr>
              <w:keepNext/>
              <w:rPr>
                <w:rFonts w:ascii="Arial" w:hAnsi="Arial" w:cs="Arial"/>
                <w:sz w:val="20"/>
                <w:szCs w:val="20"/>
              </w:rPr>
            </w:pPr>
            <w:r w:rsidRPr="00EF6B62">
              <w:rPr>
                <w:rFonts w:ascii="Arial" w:hAnsi="Arial" w:cs="Arial"/>
                <w:sz w:val="20"/>
                <w:szCs w:val="20"/>
              </w:rPr>
              <w:t> </w:t>
            </w:r>
          </w:p>
        </w:tc>
        <w:tc>
          <w:tcPr>
            <w:tcW w:w="1765" w:type="dxa"/>
            <w:tcBorders>
              <w:top w:val="single" w:sz="4" w:space="0" w:color="auto"/>
              <w:right w:val="single" w:sz="4" w:space="0" w:color="auto"/>
            </w:tcBorders>
            <w:shd w:val="clear" w:color="auto" w:fill="auto"/>
            <w:noWrap/>
            <w:vAlign w:val="bottom"/>
            <w:hideMark/>
          </w:tcPr>
          <w:p w14:paraId="4BD19FD3" w14:textId="77777777" w:rsidR="00CF3957" w:rsidRPr="00EF6B62" w:rsidRDefault="00CF3957" w:rsidP="001E71E3">
            <w:pPr>
              <w:keepNext/>
              <w:rPr>
                <w:rFonts w:ascii="Arial" w:hAnsi="Arial" w:cs="Arial"/>
                <w:sz w:val="20"/>
                <w:szCs w:val="20"/>
              </w:rPr>
            </w:pPr>
            <w:r w:rsidRPr="00EF6B62">
              <w:rPr>
                <w:rFonts w:ascii="Arial" w:hAnsi="Arial" w:cs="Arial"/>
                <w:sz w:val="20"/>
                <w:szCs w:val="20"/>
              </w:rPr>
              <w:t> </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D3DE4" w14:textId="77777777" w:rsidR="00CF3957" w:rsidRPr="00EF6B62" w:rsidRDefault="00CF3957" w:rsidP="001E71E3">
            <w:pPr>
              <w:keepNext/>
              <w:jc w:val="right"/>
              <w:rPr>
                <w:b/>
                <w:bCs/>
                <w:sz w:val="16"/>
                <w:szCs w:val="16"/>
              </w:rPr>
            </w:pPr>
            <w:r w:rsidRPr="00EF6B62">
              <w:rPr>
                <w:b/>
                <w:bCs/>
                <w:sz w:val="16"/>
                <w:szCs w:val="16"/>
              </w:rPr>
              <w:t>20.824.620.11</w:t>
            </w:r>
            <w:r>
              <w:rPr>
                <w:b/>
                <w:bCs/>
                <w:sz w:val="16"/>
                <w:szCs w:val="16"/>
              </w:rPr>
              <w:t>7</w:t>
            </w:r>
            <w:r w:rsidRPr="00EF6B62">
              <w:rPr>
                <w:b/>
                <w:bCs/>
                <w:sz w:val="16"/>
                <w:szCs w:val="16"/>
              </w:rPr>
              <w:t>,</w:t>
            </w:r>
            <w:r>
              <w:rPr>
                <w:b/>
                <w:bCs/>
                <w:sz w:val="16"/>
                <w:szCs w:val="16"/>
              </w:rPr>
              <w:t>03</w:t>
            </w:r>
          </w:p>
        </w:tc>
      </w:tr>
    </w:tbl>
    <w:p w14:paraId="71D3854D" w14:textId="77777777" w:rsidR="00CF3957" w:rsidRPr="00AA6B88" w:rsidRDefault="00CF3957" w:rsidP="00CF3957">
      <w:pPr>
        <w:keepNext/>
        <w:rPr>
          <w:color w:val="000000"/>
        </w:rPr>
      </w:pPr>
    </w:p>
    <w:p w14:paraId="5AADDBA0" w14:textId="77777777" w:rsidR="00CF3957" w:rsidRPr="00653FA8" w:rsidRDefault="00CF3957" w:rsidP="00CF3957">
      <w:pPr>
        <w:tabs>
          <w:tab w:val="left" w:pos="360"/>
        </w:tabs>
        <w:rPr>
          <w:b/>
          <w:i/>
        </w:rPr>
      </w:pPr>
      <w:r w:rsidRPr="00653FA8">
        <w:rPr>
          <w:b/>
          <w:i/>
        </w:rPr>
        <w:t xml:space="preserve">Zaduživanje na domaćem tržištu putem dugoročnih kredita </w:t>
      </w:r>
    </w:p>
    <w:p w14:paraId="5ACF5E51" w14:textId="77777777" w:rsidR="00CF3957" w:rsidRDefault="00CF3957" w:rsidP="00CF3957">
      <w:pPr>
        <w:tabs>
          <w:tab w:val="left" w:pos="360"/>
        </w:tabs>
        <w:jc w:val="both"/>
      </w:pPr>
    </w:p>
    <w:p w14:paraId="6062376B" w14:textId="77777777" w:rsidR="00CF3957" w:rsidRPr="0017092A" w:rsidRDefault="00CF3957" w:rsidP="00CF3957">
      <w:pPr>
        <w:pStyle w:val="Odlomakpopisa"/>
        <w:numPr>
          <w:ilvl w:val="0"/>
          <w:numId w:val="8"/>
        </w:numPr>
        <w:tabs>
          <w:tab w:val="left" w:pos="360"/>
        </w:tabs>
      </w:pPr>
      <w:r w:rsidRPr="0017092A">
        <w:t xml:space="preserve">Kredit u iznosu od 360.000.000,00 eura  </w:t>
      </w:r>
    </w:p>
    <w:p w14:paraId="32F4F696" w14:textId="77777777" w:rsidR="00CF3957" w:rsidRPr="0017092A" w:rsidRDefault="00CF3957" w:rsidP="00CF3957">
      <w:pPr>
        <w:tabs>
          <w:tab w:val="left" w:pos="360"/>
        </w:tabs>
        <w:jc w:val="both"/>
      </w:pPr>
      <w:r w:rsidRPr="0017092A">
        <w:t xml:space="preserve">Republika Hrvatska se u ožujku </w:t>
      </w:r>
      <w:r>
        <w:t xml:space="preserve">2022. godine </w:t>
      </w:r>
      <w:r w:rsidRPr="0017092A">
        <w:t>zadužila na domaćem financijskom tržištu u iznosu 360 milijuna eura (u kunskoj protuvrijednosti iznosa obračunatog po srednjem tečaju HNB-a na dan korištenja kredita). Kamata je promjenjiva i jednaka zbroju šestomjesečnog EURI</w:t>
      </w:r>
      <w:r>
        <w:t xml:space="preserve">BOR-a i </w:t>
      </w:r>
      <w:r w:rsidRPr="0017092A">
        <w:t>marže u iznosu od 0,45% godišnje. Glavnica će se otplaćivati u 10 jednakih polugodišnjih rata, od kojih prva dospijeva 31. listopada 2022.</w:t>
      </w:r>
      <w:r>
        <w:t xml:space="preserve"> godine</w:t>
      </w:r>
      <w:r w:rsidRPr="0017092A">
        <w:t>, a zadnja 60 mjeseci od prijenosa kredita u otplatu.</w:t>
      </w:r>
    </w:p>
    <w:p w14:paraId="7AA4B5D9" w14:textId="77777777" w:rsidR="00CF3957" w:rsidRPr="0017092A" w:rsidRDefault="00CF3957" w:rsidP="00CF3957">
      <w:pPr>
        <w:tabs>
          <w:tab w:val="left" w:pos="360"/>
        </w:tabs>
        <w:jc w:val="both"/>
      </w:pPr>
    </w:p>
    <w:p w14:paraId="1BE1527A" w14:textId="77777777" w:rsidR="00CF3957" w:rsidRPr="0017092A" w:rsidRDefault="00CF3957" w:rsidP="00CF3957">
      <w:pPr>
        <w:pStyle w:val="Odlomakpopisa"/>
        <w:numPr>
          <w:ilvl w:val="0"/>
          <w:numId w:val="8"/>
        </w:numPr>
        <w:tabs>
          <w:tab w:val="left" w:pos="360"/>
        </w:tabs>
      </w:pPr>
      <w:r w:rsidRPr="0017092A">
        <w:t xml:space="preserve">Kredit u iznosu od 200.000.000,00 eura  </w:t>
      </w:r>
    </w:p>
    <w:p w14:paraId="2E25C38D" w14:textId="77777777" w:rsidR="00CF3957" w:rsidRPr="0017092A" w:rsidRDefault="00CF3957" w:rsidP="00CF3957">
      <w:pPr>
        <w:tabs>
          <w:tab w:val="left" w:pos="360"/>
        </w:tabs>
        <w:jc w:val="both"/>
      </w:pPr>
      <w:r w:rsidRPr="0017092A">
        <w:lastRenderedPageBreak/>
        <w:t>U istom mjesecu Republika Hrvatska se zadužila na domaćem financijskom tržištu u iznosu 200 milijuna eura (u kunskoj protuvrijednosti iznosa obračunatog po srednjem tečaju HNB-a na dan korištenja kredita). Kamata je promjenjiva, u visini šestomjesečnog EURIBOR-a uvećano za kamatnu maržu od 0,27% godišnje. Glavnica će se otplaćivati u 8 jednakih polugodišnjih rata, od kojih prva dospijeva 30. rujna 2022.</w:t>
      </w:r>
      <w:r>
        <w:t xml:space="preserve"> godine</w:t>
      </w:r>
      <w:r w:rsidRPr="0017092A">
        <w:t xml:space="preserve">, a posljednja 31. ožujka 2026. </w:t>
      </w:r>
      <w:r>
        <w:t>godine.</w:t>
      </w:r>
    </w:p>
    <w:p w14:paraId="79CBB8A8" w14:textId="77777777" w:rsidR="00CF3957" w:rsidRPr="0017092A" w:rsidRDefault="00CF3957" w:rsidP="00CF3957">
      <w:pPr>
        <w:tabs>
          <w:tab w:val="left" w:pos="360"/>
        </w:tabs>
        <w:jc w:val="both"/>
      </w:pPr>
    </w:p>
    <w:p w14:paraId="17780D54" w14:textId="77777777" w:rsidR="00CF3957" w:rsidRPr="0017092A" w:rsidRDefault="00CF3957" w:rsidP="00CF3957">
      <w:pPr>
        <w:pStyle w:val="Odlomakpopisa"/>
        <w:numPr>
          <w:ilvl w:val="0"/>
          <w:numId w:val="8"/>
        </w:numPr>
        <w:tabs>
          <w:tab w:val="left" w:pos="360"/>
        </w:tabs>
      </w:pPr>
      <w:r w:rsidRPr="0017092A">
        <w:t xml:space="preserve">Kredit u iznosu od 120.000.000,00 eura  </w:t>
      </w:r>
    </w:p>
    <w:p w14:paraId="73A41293" w14:textId="77777777" w:rsidR="00CF3957" w:rsidRPr="0017092A" w:rsidRDefault="00CF3957" w:rsidP="00CF3957">
      <w:pPr>
        <w:tabs>
          <w:tab w:val="left" w:pos="360"/>
        </w:tabs>
        <w:jc w:val="both"/>
      </w:pPr>
      <w:r w:rsidRPr="0017092A">
        <w:t xml:space="preserve">Također u ožujku </w:t>
      </w:r>
      <w:r>
        <w:t xml:space="preserve">2022. godine </w:t>
      </w:r>
      <w:r w:rsidRPr="0017092A">
        <w:t>Republika Hrvatska se zadužila na domaćem financijskom tržištu u iznosu 120 milijuna eura (u kunskoj protuvrijednosti iznosa obračunatog po srednjem tečaju HNB-a na dan korištenja kredita). Kamatna stopa je fiksna u iznosu 0,50% godišnje. Glavnica će se otplaćivati u  8 jednaki</w:t>
      </w:r>
      <w:r>
        <w:t>h</w:t>
      </w:r>
      <w:r w:rsidRPr="0017092A">
        <w:t xml:space="preserve"> polugodišnjih rata od kojih prva dospijeva na naplatu u roku 6 mjeseci od dana korištenja kredita. </w:t>
      </w:r>
    </w:p>
    <w:p w14:paraId="7869810B" w14:textId="77777777" w:rsidR="00CF3957" w:rsidRPr="0017092A" w:rsidRDefault="00CF3957" w:rsidP="00CF3957">
      <w:pPr>
        <w:tabs>
          <w:tab w:val="left" w:pos="360"/>
        </w:tabs>
        <w:jc w:val="both"/>
      </w:pPr>
    </w:p>
    <w:p w14:paraId="028875B7" w14:textId="77777777" w:rsidR="00CF3957" w:rsidRPr="0017092A" w:rsidRDefault="00CF3957" w:rsidP="00CF3957">
      <w:pPr>
        <w:pStyle w:val="Odlomakpopisa"/>
        <w:numPr>
          <w:ilvl w:val="0"/>
          <w:numId w:val="8"/>
        </w:numPr>
        <w:tabs>
          <w:tab w:val="left" w:pos="360"/>
        </w:tabs>
      </w:pPr>
      <w:r w:rsidRPr="0017092A">
        <w:t xml:space="preserve">Kredit u iznosu od 150.000.000,00 eura  </w:t>
      </w:r>
    </w:p>
    <w:p w14:paraId="4818A48D" w14:textId="77777777" w:rsidR="00CF3957" w:rsidRPr="0017092A" w:rsidRDefault="00CF3957" w:rsidP="00CF3957">
      <w:pPr>
        <w:tabs>
          <w:tab w:val="left" w:pos="360"/>
        </w:tabs>
        <w:jc w:val="both"/>
      </w:pPr>
      <w:r w:rsidRPr="0017092A">
        <w:t xml:space="preserve">U prosincu </w:t>
      </w:r>
      <w:r>
        <w:t xml:space="preserve">2022. godine </w:t>
      </w:r>
      <w:r w:rsidRPr="0017092A">
        <w:t>Republika Hrvatska se zadužila na domaćem financijskom tržištu u iznosu 150 milijuna eura  (u kunskoj protuvrijednosti iznosa obračunatog po srednjem tečaju HNB-a na dan korištenja kredita).  Kamata je promjenjiva i jednaka zbroju šestomjesečnog EURIBOR-a i marže u iznosu od 0,13% godišnje, uz polugodišnji obračun i plaćanje</w:t>
      </w:r>
      <w:r>
        <w:t xml:space="preserve">. Glavnica će se otplaćivati u </w:t>
      </w:r>
      <w:r w:rsidRPr="0017092A">
        <w:t>8 jednaki</w:t>
      </w:r>
      <w:r>
        <w:t>h</w:t>
      </w:r>
      <w:r w:rsidRPr="0017092A">
        <w:t xml:space="preserve"> polugodišnjih rata od kojih prva dospijeva na naplatu u roku 6 mjeseci od dana korištenja kredita. </w:t>
      </w:r>
    </w:p>
    <w:p w14:paraId="746DA278" w14:textId="77777777" w:rsidR="00CF3957" w:rsidRPr="0017092A" w:rsidRDefault="00CF3957" w:rsidP="00CF3957">
      <w:pPr>
        <w:tabs>
          <w:tab w:val="left" w:pos="360"/>
        </w:tabs>
        <w:jc w:val="both"/>
      </w:pPr>
    </w:p>
    <w:p w14:paraId="2CFEBFFE" w14:textId="77777777" w:rsidR="00CF3957" w:rsidRPr="0017092A" w:rsidRDefault="00CF3957" w:rsidP="00CF3957">
      <w:pPr>
        <w:numPr>
          <w:ilvl w:val="0"/>
          <w:numId w:val="8"/>
        </w:numPr>
        <w:tabs>
          <w:tab w:val="left" w:pos="360"/>
        </w:tabs>
        <w:contextualSpacing/>
      </w:pPr>
      <w:r w:rsidRPr="0017092A">
        <w:t xml:space="preserve">Kredit u iznosu od 200.000.000,00 eura  </w:t>
      </w:r>
    </w:p>
    <w:p w14:paraId="44184A6A" w14:textId="77777777" w:rsidR="00CF3957" w:rsidRPr="0004471B" w:rsidRDefault="00CF3957" w:rsidP="00CF3957">
      <w:pPr>
        <w:tabs>
          <w:tab w:val="left" w:pos="360"/>
        </w:tabs>
        <w:jc w:val="both"/>
      </w:pPr>
      <w:r w:rsidRPr="0017092A">
        <w:t>Također u prosincu</w:t>
      </w:r>
      <w:r>
        <w:t xml:space="preserve"> 2022. godine</w:t>
      </w:r>
      <w:r w:rsidRPr="0017092A">
        <w:t xml:space="preserve"> Republika Hrvatska se zadužila na domaćem financijskom tržištu u iznosu 200 milijuna eura (u kunskoj protuvrijednosti iznosa obračunatog po srednjem tečaju HNB-a na dan korištenja kredita). Kamatna stopa je fiksna u iznosu 2,904% godišnje, uz polugodišnji obračun i plaćanje. Glavnica će se otplaćivati u jednakim polugodišnjim ratama od kojih prva dospijeva 30. lipnja 2023.</w:t>
      </w:r>
      <w:r>
        <w:t xml:space="preserve"> godine</w:t>
      </w:r>
      <w:r w:rsidRPr="0017092A">
        <w:t xml:space="preserve">, a posljednja 31. prosinca 2027. </w:t>
      </w:r>
      <w:r>
        <w:t>godine.</w:t>
      </w:r>
    </w:p>
    <w:p w14:paraId="72EBA7DC" w14:textId="77777777" w:rsidR="00CF3957" w:rsidRDefault="00CF3957" w:rsidP="00CF3957">
      <w:pPr>
        <w:keepNext/>
        <w:rPr>
          <w:color w:val="000000"/>
        </w:rPr>
      </w:pPr>
    </w:p>
    <w:p w14:paraId="55939D94" w14:textId="77777777" w:rsidR="00CF3957" w:rsidRDefault="00CF3957" w:rsidP="00CF3957">
      <w:pPr>
        <w:keepNext/>
        <w:rPr>
          <w:color w:val="000000"/>
        </w:rPr>
      </w:pPr>
      <w:r>
        <w:rPr>
          <w:color w:val="000000"/>
        </w:rPr>
        <w:t>Analitika obveza za kredite sveučilišta daje se u Tablici 13.</w:t>
      </w:r>
    </w:p>
    <w:p w14:paraId="1B111DF2" w14:textId="77777777" w:rsidR="00CF3957" w:rsidRDefault="00CF3957" w:rsidP="00CF3957">
      <w:pPr>
        <w:keepNext/>
        <w:rPr>
          <w:color w:val="000000"/>
        </w:rPr>
      </w:pPr>
    </w:p>
    <w:p w14:paraId="7AB684F5" w14:textId="77777777" w:rsidR="00CF3957" w:rsidRPr="0066691F" w:rsidRDefault="00CF3957" w:rsidP="00CF3957">
      <w:pPr>
        <w:keepNext/>
        <w:jc w:val="both"/>
        <w:rPr>
          <w:b/>
          <w:sz w:val="20"/>
          <w:szCs w:val="20"/>
        </w:rPr>
      </w:pPr>
      <w:r w:rsidRPr="0066691F">
        <w:rPr>
          <w:b/>
          <w:sz w:val="20"/>
          <w:szCs w:val="20"/>
        </w:rPr>
        <w:t>Tablica 13.</w:t>
      </w:r>
    </w:p>
    <w:tbl>
      <w:tblPr>
        <w:tblW w:w="9154" w:type="dxa"/>
        <w:tblLook w:val="04A0" w:firstRow="1" w:lastRow="0" w:firstColumn="1" w:lastColumn="0" w:noHBand="0" w:noVBand="1"/>
      </w:tblPr>
      <w:tblGrid>
        <w:gridCol w:w="1271"/>
        <w:gridCol w:w="3696"/>
        <w:gridCol w:w="1061"/>
        <w:gridCol w:w="1410"/>
        <w:gridCol w:w="1716"/>
      </w:tblGrid>
      <w:tr w:rsidR="00CF3957" w:rsidRPr="00550C85" w14:paraId="0B0A4696" w14:textId="77777777" w:rsidTr="001E71E3">
        <w:trPr>
          <w:trHeight w:val="604"/>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7A61C" w14:textId="77777777" w:rsidR="00CF3957" w:rsidRPr="0066691F" w:rsidRDefault="00CF3957" w:rsidP="001E71E3">
            <w:pPr>
              <w:keepNext/>
              <w:jc w:val="center"/>
              <w:rPr>
                <w:b/>
                <w:bCs/>
                <w:sz w:val="16"/>
                <w:szCs w:val="16"/>
              </w:rPr>
            </w:pPr>
            <w:r w:rsidRPr="0066691F">
              <w:rPr>
                <w:b/>
                <w:bCs/>
                <w:sz w:val="16"/>
                <w:szCs w:val="16"/>
              </w:rPr>
              <w:t>Redni broj</w:t>
            </w:r>
          </w:p>
        </w:tc>
        <w:tc>
          <w:tcPr>
            <w:tcW w:w="3696" w:type="dxa"/>
            <w:tcBorders>
              <w:top w:val="single" w:sz="4" w:space="0" w:color="auto"/>
              <w:left w:val="nil"/>
              <w:bottom w:val="single" w:sz="4" w:space="0" w:color="auto"/>
              <w:right w:val="single" w:sz="4" w:space="0" w:color="auto"/>
            </w:tcBorders>
            <w:shd w:val="clear" w:color="auto" w:fill="auto"/>
            <w:vAlign w:val="center"/>
            <w:hideMark/>
          </w:tcPr>
          <w:p w14:paraId="714C6ACB" w14:textId="77777777" w:rsidR="00CF3957" w:rsidRPr="0066691F" w:rsidRDefault="00CF3957" w:rsidP="001E71E3">
            <w:pPr>
              <w:keepNext/>
              <w:jc w:val="center"/>
              <w:rPr>
                <w:b/>
                <w:bCs/>
                <w:sz w:val="16"/>
                <w:szCs w:val="16"/>
              </w:rPr>
            </w:pPr>
            <w:r w:rsidRPr="0066691F">
              <w:rPr>
                <w:b/>
                <w:bCs/>
                <w:sz w:val="16"/>
                <w:szCs w:val="16"/>
              </w:rPr>
              <w:t>Opis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BA9D9CC" w14:textId="77777777" w:rsidR="00CF3957" w:rsidRPr="0066691F" w:rsidRDefault="00CF3957" w:rsidP="001E71E3">
            <w:pPr>
              <w:keepNext/>
              <w:jc w:val="center"/>
              <w:rPr>
                <w:b/>
                <w:bCs/>
                <w:sz w:val="16"/>
                <w:szCs w:val="16"/>
              </w:rPr>
            </w:pPr>
            <w:r w:rsidRPr="0066691F">
              <w:rPr>
                <w:b/>
                <w:bCs/>
                <w:sz w:val="16"/>
                <w:szCs w:val="16"/>
              </w:rPr>
              <w:t>Valuta</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5E1517E3" w14:textId="77777777" w:rsidR="00CF3957" w:rsidRPr="0066691F" w:rsidRDefault="00CF3957" w:rsidP="001E71E3">
            <w:pPr>
              <w:keepNext/>
              <w:jc w:val="center"/>
              <w:rPr>
                <w:b/>
                <w:bCs/>
                <w:sz w:val="16"/>
                <w:szCs w:val="16"/>
              </w:rPr>
            </w:pPr>
            <w:r w:rsidRPr="0066691F">
              <w:rPr>
                <w:b/>
                <w:bCs/>
                <w:sz w:val="16"/>
                <w:szCs w:val="16"/>
              </w:rPr>
              <w:t xml:space="preserve">Stanje obveza na 31.12.2022. </w:t>
            </w:r>
            <w:r>
              <w:rPr>
                <w:b/>
                <w:bCs/>
                <w:sz w:val="16"/>
                <w:szCs w:val="16"/>
              </w:rPr>
              <w:t>u</w:t>
            </w:r>
            <w:r w:rsidRPr="0066691F">
              <w:rPr>
                <w:b/>
                <w:bCs/>
                <w:sz w:val="16"/>
                <w:szCs w:val="16"/>
              </w:rPr>
              <w:t xml:space="preserve"> EUR</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6A4242D1" w14:textId="77777777" w:rsidR="00CF3957" w:rsidRPr="0066691F" w:rsidRDefault="00CF3957" w:rsidP="001E71E3">
            <w:pPr>
              <w:keepNext/>
              <w:jc w:val="center"/>
              <w:rPr>
                <w:b/>
                <w:bCs/>
                <w:sz w:val="16"/>
                <w:szCs w:val="16"/>
              </w:rPr>
            </w:pPr>
            <w:r w:rsidRPr="0066691F">
              <w:rPr>
                <w:b/>
                <w:bCs/>
                <w:sz w:val="16"/>
                <w:szCs w:val="16"/>
              </w:rPr>
              <w:t xml:space="preserve">Stanje obveza na 31.12.2022. </w:t>
            </w:r>
            <w:r>
              <w:rPr>
                <w:b/>
                <w:bCs/>
                <w:sz w:val="16"/>
                <w:szCs w:val="16"/>
              </w:rPr>
              <w:t>u</w:t>
            </w:r>
            <w:r w:rsidRPr="0066691F">
              <w:rPr>
                <w:b/>
                <w:bCs/>
                <w:sz w:val="16"/>
                <w:szCs w:val="16"/>
              </w:rPr>
              <w:t xml:space="preserve"> HRK</w:t>
            </w:r>
          </w:p>
        </w:tc>
      </w:tr>
      <w:tr w:rsidR="00CF3957" w:rsidRPr="00550C85" w14:paraId="62D79BE8" w14:textId="77777777" w:rsidTr="001E71E3">
        <w:trPr>
          <w:trHeight w:val="5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442A93B" w14:textId="77777777" w:rsidR="00CF3957" w:rsidRPr="00550C85" w:rsidRDefault="00CF3957" w:rsidP="001E71E3">
            <w:pPr>
              <w:keepNext/>
              <w:jc w:val="center"/>
              <w:rPr>
                <w:sz w:val="16"/>
                <w:szCs w:val="16"/>
              </w:rPr>
            </w:pPr>
            <w:r w:rsidRPr="00550C85">
              <w:rPr>
                <w:sz w:val="16"/>
                <w:szCs w:val="16"/>
              </w:rPr>
              <w:t>1.</w:t>
            </w:r>
          </w:p>
        </w:tc>
        <w:tc>
          <w:tcPr>
            <w:tcW w:w="3696" w:type="dxa"/>
            <w:tcBorders>
              <w:top w:val="nil"/>
              <w:left w:val="nil"/>
              <w:bottom w:val="single" w:sz="4" w:space="0" w:color="auto"/>
              <w:right w:val="single" w:sz="4" w:space="0" w:color="auto"/>
            </w:tcBorders>
            <w:shd w:val="clear" w:color="auto" w:fill="auto"/>
            <w:vAlign w:val="center"/>
            <w:hideMark/>
          </w:tcPr>
          <w:p w14:paraId="2C6313E0" w14:textId="77777777" w:rsidR="00CF3957" w:rsidRPr="00550C85" w:rsidRDefault="00CF3957" w:rsidP="001E71E3">
            <w:pPr>
              <w:keepNext/>
              <w:rPr>
                <w:sz w:val="16"/>
                <w:szCs w:val="16"/>
              </w:rPr>
            </w:pPr>
            <w:r w:rsidRPr="00550C85">
              <w:rPr>
                <w:sz w:val="16"/>
                <w:szCs w:val="16"/>
              </w:rPr>
              <w:t>Sveučilište u Rijeci - ZABA - partija kredita 5100231949</w:t>
            </w:r>
          </w:p>
        </w:tc>
        <w:tc>
          <w:tcPr>
            <w:tcW w:w="1061" w:type="dxa"/>
            <w:tcBorders>
              <w:top w:val="nil"/>
              <w:left w:val="nil"/>
              <w:bottom w:val="single" w:sz="4" w:space="0" w:color="auto"/>
              <w:right w:val="single" w:sz="4" w:space="0" w:color="auto"/>
            </w:tcBorders>
            <w:shd w:val="clear" w:color="auto" w:fill="auto"/>
            <w:vAlign w:val="center"/>
            <w:hideMark/>
          </w:tcPr>
          <w:p w14:paraId="6FFE513D" w14:textId="77777777" w:rsidR="00CF3957" w:rsidRPr="00550C85" w:rsidRDefault="00CF3957" w:rsidP="001E71E3">
            <w:pPr>
              <w:keepNext/>
              <w:jc w:val="center"/>
              <w:rPr>
                <w:sz w:val="16"/>
                <w:szCs w:val="16"/>
              </w:rPr>
            </w:pPr>
            <w:r w:rsidRPr="00550C85">
              <w:rPr>
                <w:sz w:val="16"/>
                <w:szCs w:val="16"/>
              </w:rPr>
              <w:t>EUR</w:t>
            </w:r>
          </w:p>
        </w:tc>
        <w:tc>
          <w:tcPr>
            <w:tcW w:w="1410" w:type="dxa"/>
            <w:tcBorders>
              <w:top w:val="nil"/>
              <w:left w:val="nil"/>
              <w:bottom w:val="single" w:sz="4" w:space="0" w:color="auto"/>
              <w:right w:val="single" w:sz="4" w:space="0" w:color="auto"/>
            </w:tcBorders>
            <w:shd w:val="clear" w:color="auto" w:fill="auto"/>
            <w:vAlign w:val="center"/>
            <w:hideMark/>
          </w:tcPr>
          <w:p w14:paraId="0A7F7B56" w14:textId="77777777" w:rsidR="00CF3957" w:rsidRPr="00550C85" w:rsidRDefault="00CF3957" w:rsidP="001E71E3">
            <w:pPr>
              <w:keepNext/>
              <w:jc w:val="right"/>
              <w:rPr>
                <w:sz w:val="16"/>
                <w:szCs w:val="16"/>
              </w:rPr>
            </w:pPr>
            <w:r w:rsidRPr="00550C85">
              <w:rPr>
                <w:sz w:val="16"/>
                <w:szCs w:val="16"/>
              </w:rPr>
              <w:t>1.297.505,52</w:t>
            </w:r>
          </w:p>
        </w:tc>
        <w:tc>
          <w:tcPr>
            <w:tcW w:w="1716" w:type="dxa"/>
            <w:tcBorders>
              <w:top w:val="nil"/>
              <w:left w:val="nil"/>
              <w:bottom w:val="single" w:sz="4" w:space="0" w:color="auto"/>
              <w:right w:val="single" w:sz="4" w:space="0" w:color="auto"/>
            </w:tcBorders>
            <w:shd w:val="clear" w:color="auto" w:fill="auto"/>
            <w:vAlign w:val="center"/>
            <w:hideMark/>
          </w:tcPr>
          <w:p w14:paraId="57AB548D" w14:textId="77777777" w:rsidR="00CF3957" w:rsidRPr="00550C85" w:rsidRDefault="00CF3957" w:rsidP="001E71E3">
            <w:pPr>
              <w:keepNext/>
              <w:jc w:val="right"/>
              <w:rPr>
                <w:sz w:val="16"/>
                <w:szCs w:val="16"/>
              </w:rPr>
            </w:pPr>
            <w:r w:rsidRPr="00550C85">
              <w:rPr>
                <w:sz w:val="16"/>
                <w:szCs w:val="16"/>
              </w:rPr>
              <w:t>9.776.055,34</w:t>
            </w:r>
          </w:p>
        </w:tc>
      </w:tr>
      <w:tr w:rsidR="00CF3957" w:rsidRPr="00550C85" w14:paraId="35E6D62A" w14:textId="77777777" w:rsidTr="001E71E3">
        <w:trPr>
          <w:trHeight w:val="5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48508B3" w14:textId="77777777" w:rsidR="00CF3957" w:rsidRPr="00550C85" w:rsidRDefault="00CF3957" w:rsidP="001E71E3">
            <w:pPr>
              <w:keepNext/>
              <w:jc w:val="center"/>
              <w:rPr>
                <w:sz w:val="16"/>
                <w:szCs w:val="16"/>
              </w:rPr>
            </w:pPr>
            <w:r w:rsidRPr="00550C85">
              <w:rPr>
                <w:sz w:val="16"/>
                <w:szCs w:val="16"/>
              </w:rPr>
              <w:t>2.</w:t>
            </w:r>
          </w:p>
        </w:tc>
        <w:tc>
          <w:tcPr>
            <w:tcW w:w="3696" w:type="dxa"/>
            <w:tcBorders>
              <w:top w:val="nil"/>
              <w:left w:val="nil"/>
              <w:bottom w:val="single" w:sz="4" w:space="0" w:color="auto"/>
              <w:right w:val="single" w:sz="4" w:space="0" w:color="auto"/>
            </w:tcBorders>
            <w:shd w:val="clear" w:color="auto" w:fill="auto"/>
            <w:vAlign w:val="center"/>
            <w:hideMark/>
          </w:tcPr>
          <w:p w14:paraId="7EAB6057" w14:textId="77777777" w:rsidR="00CF3957" w:rsidRPr="00550C85" w:rsidRDefault="00CF3957" w:rsidP="001E71E3">
            <w:pPr>
              <w:keepNext/>
              <w:rPr>
                <w:sz w:val="16"/>
                <w:szCs w:val="16"/>
              </w:rPr>
            </w:pPr>
            <w:r w:rsidRPr="00550C85">
              <w:rPr>
                <w:sz w:val="16"/>
                <w:szCs w:val="16"/>
              </w:rPr>
              <w:t>Sveučilište u Rijeci - Erste - partija kredita 26010300</w:t>
            </w:r>
          </w:p>
        </w:tc>
        <w:tc>
          <w:tcPr>
            <w:tcW w:w="1061" w:type="dxa"/>
            <w:tcBorders>
              <w:top w:val="nil"/>
              <w:left w:val="nil"/>
              <w:bottom w:val="single" w:sz="4" w:space="0" w:color="auto"/>
              <w:right w:val="single" w:sz="4" w:space="0" w:color="auto"/>
            </w:tcBorders>
            <w:shd w:val="clear" w:color="auto" w:fill="auto"/>
            <w:vAlign w:val="center"/>
            <w:hideMark/>
          </w:tcPr>
          <w:p w14:paraId="0F9BD4FB" w14:textId="77777777" w:rsidR="00CF3957" w:rsidRPr="00550C85" w:rsidRDefault="00CF3957" w:rsidP="001E71E3">
            <w:pPr>
              <w:keepNext/>
              <w:jc w:val="center"/>
              <w:rPr>
                <w:sz w:val="16"/>
                <w:szCs w:val="16"/>
              </w:rPr>
            </w:pPr>
            <w:r w:rsidRPr="00550C85">
              <w:rPr>
                <w:sz w:val="16"/>
                <w:szCs w:val="16"/>
              </w:rPr>
              <w:t>EUR</w:t>
            </w:r>
          </w:p>
        </w:tc>
        <w:tc>
          <w:tcPr>
            <w:tcW w:w="1410" w:type="dxa"/>
            <w:tcBorders>
              <w:top w:val="nil"/>
              <w:left w:val="nil"/>
              <w:bottom w:val="single" w:sz="4" w:space="0" w:color="auto"/>
              <w:right w:val="single" w:sz="4" w:space="0" w:color="auto"/>
            </w:tcBorders>
            <w:shd w:val="clear" w:color="auto" w:fill="auto"/>
            <w:vAlign w:val="center"/>
            <w:hideMark/>
          </w:tcPr>
          <w:p w14:paraId="68465FE5" w14:textId="77777777" w:rsidR="00CF3957" w:rsidRPr="00550C85" w:rsidRDefault="00CF3957" w:rsidP="001E71E3">
            <w:pPr>
              <w:keepNext/>
              <w:jc w:val="right"/>
              <w:rPr>
                <w:sz w:val="16"/>
                <w:szCs w:val="16"/>
              </w:rPr>
            </w:pPr>
            <w:r w:rsidRPr="00550C85">
              <w:rPr>
                <w:sz w:val="16"/>
                <w:szCs w:val="16"/>
              </w:rPr>
              <w:t>0,00</w:t>
            </w:r>
          </w:p>
        </w:tc>
        <w:tc>
          <w:tcPr>
            <w:tcW w:w="1716" w:type="dxa"/>
            <w:tcBorders>
              <w:top w:val="nil"/>
              <w:left w:val="nil"/>
              <w:bottom w:val="single" w:sz="4" w:space="0" w:color="auto"/>
              <w:right w:val="single" w:sz="4" w:space="0" w:color="auto"/>
            </w:tcBorders>
            <w:shd w:val="clear" w:color="auto" w:fill="auto"/>
            <w:vAlign w:val="center"/>
            <w:hideMark/>
          </w:tcPr>
          <w:p w14:paraId="6ED9D5AA" w14:textId="77777777" w:rsidR="00CF3957" w:rsidRPr="00550C85" w:rsidRDefault="00CF3957" w:rsidP="001E71E3">
            <w:pPr>
              <w:keepNext/>
              <w:jc w:val="right"/>
              <w:rPr>
                <w:sz w:val="16"/>
                <w:szCs w:val="16"/>
              </w:rPr>
            </w:pPr>
            <w:r w:rsidRPr="00550C85">
              <w:rPr>
                <w:sz w:val="16"/>
                <w:szCs w:val="16"/>
              </w:rPr>
              <w:t>0,00</w:t>
            </w:r>
          </w:p>
        </w:tc>
      </w:tr>
      <w:tr w:rsidR="00CF3957" w:rsidRPr="00550C85" w14:paraId="54E323B2" w14:textId="77777777" w:rsidTr="001E71E3">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3B2E963" w14:textId="77777777" w:rsidR="00CF3957" w:rsidRPr="00550C85" w:rsidRDefault="00CF3957" w:rsidP="001E71E3">
            <w:pPr>
              <w:keepNext/>
              <w:jc w:val="center"/>
              <w:rPr>
                <w:b/>
                <w:bCs/>
                <w:sz w:val="16"/>
                <w:szCs w:val="16"/>
              </w:rPr>
            </w:pPr>
          </w:p>
        </w:tc>
        <w:tc>
          <w:tcPr>
            <w:tcW w:w="3696" w:type="dxa"/>
            <w:tcBorders>
              <w:top w:val="nil"/>
              <w:left w:val="nil"/>
              <w:bottom w:val="single" w:sz="4" w:space="0" w:color="auto"/>
              <w:right w:val="single" w:sz="4" w:space="0" w:color="auto"/>
            </w:tcBorders>
            <w:shd w:val="clear" w:color="auto" w:fill="auto"/>
            <w:noWrap/>
            <w:vAlign w:val="center"/>
            <w:hideMark/>
          </w:tcPr>
          <w:p w14:paraId="31B07CE4" w14:textId="77777777" w:rsidR="00CF3957" w:rsidRPr="00550C85" w:rsidRDefault="00CF3957" w:rsidP="001E71E3">
            <w:pPr>
              <w:keepNext/>
              <w:rPr>
                <w:sz w:val="16"/>
                <w:szCs w:val="16"/>
              </w:rPr>
            </w:pPr>
            <w:r w:rsidRPr="00550C85">
              <w:rPr>
                <w:b/>
                <w:bCs/>
                <w:sz w:val="16"/>
                <w:szCs w:val="16"/>
              </w:rPr>
              <w:t>UKUPNO</w:t>
            </w:r>
          </w:p>
        </w:tc>
        <w:tc>
          <w:tcPr>
            <w:tcW w:w="1061" w:type="dxa"/>
            <w:tcBorders>
              <w:top w:val="nil"/>
              <w:left w:val="nil"/>
              <w:bottom w:val="single" w:sz="4" w:space="0" w:color="auto"/>
              <w:right w:val="single" w:sz="4" w:space="0" w:color="auto"/>
            </w:tcBorders>
            <w:shd w:val="clear" w:color="auto" w:fill="auto"/>
            <w:vAlign w:val="center"/>
            <w:hideMark/>
          </w:tcPr>
          <w:p w14:paraId="5AB40F78" w14:textId="77777777" w:rsidR="00CF3957" w:rsidRPr="00550C85" w:rsidRDefault="00CF3957" w:rsidP="001E71E3">
            <w:pPr>
              <w:keepNext/>
              <w:jc w:val="center"/>
              <w:rPr>
                <w:b/>
                <w:bCs/>
                <w:sz w:val="16"/>
                <w:szCs w:val="16"/>
              </w:rPr>
            </w:pPr>
            <w:r w:rsidRPr="00550C85">
              <w:rPr>
                <w:b/>
                <w:bCs/>
                <w:sz w:val="16"/>
                <w:szCs w:val="16"/>
              </w:rPr>
              <w:t>EUR</w:t>
            </w:r>
          </w:p>
        </w:tc>
        <w:tc>
          <w:tcPr>
            <w:tcW w:w="1410" w:type="dxa"/>
            <w:tcBorders>
              <w:top w:val="nil"/>
              <w:left w:val="nil"/>
              <w:bottom w:val="single" w:sz="4" w:space="0" w:color="auto"/>
              <w:right w:val="single" w:sz="4" w:space="0" w:color="auto"/>
            </w:tcBorders>
            <w:shd w:val="clear" w:color="auto" w:fill="auto"/>
            <w:noWrap/>
            <w:vAlign w:val="center"/>
            <w:hideMark/>
          </w:tcPr>
          <w:p w14:paraId="48C243DD" w14:textId="77777777" w:rsidR="00CF3957" w:rsidRPr="00550C85" w:rsidRDefault="00CF3957" w:rsidP="001E71E3">
            <w:pPr>
              <w:keepNext/>
              <w:jc w:val="right"/>
              <w:rPr>
                <w:b/>
                <w:bCs/>
                <w:sz w:val="16"/>
                <w:szCs w:val="16"/>
              </w:rPr>
            </w:pPr>
            <w:r w:rsidRPr="00550C85">
              <w:rPr>
                <w:b/>
                <w:bCs/>
                <w:sz w:val="16"/>
                <w:szCs w:val="16"/>
              </w:rPr>
              <w:t>1.297.505,52</w:t>
            </w:r>
          </w:p>
        </w:tc>
        <w:tc>
          <w:tcPr>
            <w:tcW w:w="1716" w:type="dxa"/>
            <w:tcBorders>
              <w:top w:val="nil"/>
              <w:left w:val="nil"/>
              <w:bottom w:val="single" w:sz="4" w:space="0" w:color="auto"/>
              <w:right w:val="single" w:sz="4" w:space="0" w:color="auto"/>
            </w:tcBorders>
            <w:shd w:val="clear" w:color="auto" w:fill="auto"/>
            <w:noWrap/>
            <w:vAlign w:val="center"/>
            <w:hideMark/>
          </w:tcPr>
          <w:p w14:paraId="5FB243E2" w14:textId="77777777" w:rsidR="00CF3957" w:rsidRPr="00550C85" w:rsidRDefault="00CF3957" w:rsidP="001E71E3">
            <w:pPr>
              <w:keepNext/>
              <w:jc w:val="right"/>
              <w:rPr>
                <w:b/>
                <w:bCs/>
                <w:sz w:val="16"/>
                <w:szCs w:val="16"/>
              </w:rPr>
            </w:pPr>
            <w:r w:rsidRPr="00550C85">
              <w:rPr>
                <w:b/>
                <w:sz w:val="16"/>
                <w:szCs w:val="16"/>
              </w:rPr>
              <w:t>9.776.055,34</w:t>
            </w:r>
          </w:p>
        </w:tc>
      </w:tr>
      <w:tr w:rsidR="00CF3957" w:rsidRPr="00550C85" w14:paraId="6ECC3890" w14:textId="77777777" w:rsidTr="001E71E3">
        <w:trPr>
          <w:trHeight w:val="5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8DD4167" w14:textId="77777777" w:rsidR="00CF3957" w:rsidRPr="00550C85" w:rsidRDefault="00CF3957" w:rsidP="001E71E3">
            <w:pPr>
              <w:keepNext/>
              <w:jc w:val="center"/>
              <w:rPr>
                <w:sz w:val="16"/>
                <w:szCs w:val="16"/>
              </w:rPr>
            </w:pPr>
            <w:r w:rsidRPr="00550C85">
              <w:rPr>
                <w:sz w:val="16"/>
                <w:szCs w:val="16"/>
              </w:rPr>
              <w:t>3.</w:t>
            </w:r>
          </w:p>
        </w:tc>
        <w:tc>
          <w:tcPr>
            <w:tcW w:w="3696" w:type="dxa"/>
            <w:tcBorders>
              <w:top w:val="nil"/>
              <w:left w:val="nil"/>
              <w:bottom w:val="single" w:sz="4" w:space="0" w:color="auto"/>
              <w:right w:val="single" w:sz="4" w:space="0" w:color="auto"/>
            </w:tcBorders>
            <w:shd w:val="clear" w:color="auto" w:fill="auto"/>
            <w:vAlign w:val="center"/>
            <w:hideMark/>
          </w:tcPr>
          <w:p w14:paraId="4B22C8CF" w14:textId="77777777" w:rsidR="00CF3957" w:rsidRPr="00550C85" w:rsidRDefault="00CF3957" w:rsidP="001E71E3">
            <w:pPr>
              <w:keepNext/>
              <w:rPr>
                <w:sz w:val="16"/>
                <w:szCs w:val="16"/>
              </w:rPr>
            </w:pPr>
            <w:r w:rsidRPr="00550C85">
              <w:rPr>
                <w:sz w:val="16"/>
                <w:szCs w:val="16"/>
              </w:rPr>
              <w:t>Sveučilište u Splitu - ZABA+PBZ - partija kredita 5100174887</w:t>
            </w:r>
          </w:p>
        </w:tc>
        <w:tc>
          <w:tcPr>
            <w:tcW w:w="1061" w:type="dxa"/>
            <w:tcBorders>
              <w:top w:val="nil"/>
              <w:left w:val="nil"/>
              <w:bottom w:val="single" w:sz="4" w:space="0" w:color="auto"/>
              <w:right w:val="single" w:sz="4" w:space="0" w:color="auto"/>
            </w:tcBorders>
            <w:shd w:val="clear" w:color="auto" w:fill="auto"/>
            <w:noWrap/>
            <w:vAlign w:val="center"/>
            <w:hideMark/>
          </w:tcPr>
          <w:p w14:paraId="107E967A" w14:textId="77777777" w:rsidR="00CF3957" w:rsidRPr="00550C85" w:rsidRDefault="00CF3957" w:rsidP="001E71E3">
            <w:pPr>
              <w:keepNext/>
              <w:jc w:val="center"/>
              <w:rPr>
                <w:sz w:val="16"/>
                <w:szCs w:val="16"/>
              </w:rPr>
            </w:pPr>
            <w:r w:rsidRPr="00550C85">
              <w:rPr>
                <w:sz w:val="16"/>
                <w:szCs w:val="16"/>
              </w:rPr>
              <w:t>HRK</w:t>
            </w:r>
          </w:p>
        </w:tc>
        <w:tc>
          <w:tcPr>
            <w:tcW w:w="1410" w:type="dxa"/>
            <w:tcBorders>
              <w:top w:val="nil"/>
              <w:left w:val="nil"/>
              <w:bottom w:val="single" w:sz="4" w:space="0" w:color="auto"/>
              <w:right w:val="single" w:sz="4" w:space="0" w:color="auto"/>
            </w:tcBorders>
            <w:shd w:val="clear" w:color="auto" w:fill="auto"/>
            <w:noWrap/>
            <w:vAlign w:val="center"/>
            <w:hideMark/>
          </w:tcPr>
          <w:p w14:paraId="635F81A9" w14:textId="77777777" w:rsidR="00CF3957" w:rsidRPr="00550C85" w:rsidRDefault="00CF3957" w:rsidP="001E71E3">
            <w:pPr>
              <w:keepNext/>
              <w:jc w:val="right"/>
              <w:rPr>
                <w:b/>
                <w:bCs/>
                <w:sz w:val="16"/>
                <w:szCs w:val="16"/>
              </w:rPr>
            </w:pPr>
            <w:r w:rsidRPr="00550C85">
              <w:rPr>
                <w:b/>
                <w:bCs/>
                <w:sz w:val="16"/>
                <w:szCs w:val="16"/>
              </w:rPr>
              <w:t> </w:t>
            </w:r>
          </w:p>
        </w:tc>
        <w:tc>
          <w:tcPr>
            <w:tcW w:w="1716" w:type="dxa"/>
            <w:tcBorders>
              <w:top w:val="nil"/>
              <w:left w:val="nil"/>
              <w:bottom w:val="single" w:sz="4" w:space="0" w:color="auto"/>
              <w:right w:val="single" w:sz="4" w:space="0" w:color="auto"/>
            </w:tcBorders>
            <w:shd w:val="clear" w:color="auto" w:fill="auto"/>
            <w:vAlign w:val="center"/>
            <w:hideMark/>
          </w:tcPr>
          <w:p w14:paraId="61FE2B33" w14:textId="77777777" w:rsidR="00CF3957" w:rsidRPr="00550C85" w:rsidRDefault="00CF3957" w:rsidP="001E71E3">
            <w:pPr>
              <w:keepNext/>
              <w:jc w:val="right"/>
              <w:rPr>
                <w:sz w:val="16"/>
                <w:szCs w:val="16"/>
              </w:rPr>
            </w:pPr>
            <w:r w:rsidRPr="00550C85">
              <w:rPr>
                <w:sz w:val="16"/>
                <w:szCs w:val="16"/>
              </w:rPr>
              <w:t>94.230.768,94</w:t>
            </w:r>
          </w:p>
        </w:tc>
      </w:tr>
      <w:tr w:rsidR="00CF3957" w:rsidRPr="00550C85" w14:paraId="0C8195DE" w14:textId="77777777" w:rsidTr="001E71E3">
        <w:trPr>
          <w:trHeight w:val="5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BA2E1E0" w14:textId="77777777" w:rsidR="00CF3957" w:rsidRPr="00550C85" w:rsidRDefault="00CF3957" w:rsidP="001E71E3">
            <w:pPr>
              <w:keepNext/>
              <w:jc w:val="center"/>
              <w:rPr>
                <w:sz w:val="16"/>
                <w:szCs w:val="16"/>
              </w:rPr>
            </w:pPr>
            <w:r w:rsidRPr="00550C85">
              <w:rPr>
                <w:sz w:val="16"/>
                <w:szCs w:val="16"/>
              </w:rPr>
              <w:t>4.</w:t>
            </w:r>
          </w:p>
        </w:tc>
        <w:tc>
          <w:tcPr>
            <w:tcW w:w="3696" w:type="dxa"/>
            <w:tcBorders>
              <w:top w:val="nil"/>
              <w:left w:val="nil"/>
              <w:bottom w:val="single" w:sz="4" w:space="0" w:color="auto"/>
              <w:right w:val="single" w:sz="4" w:space="0" w:color="auto"/>
            </w:tcBorders>
            <w:shd w:val="clear" w:color="auto" w:fill="auto"/>
            <w:vAlign w:val="center"/>
            <w:hideMark/>
          </w:tcPr>
          <w:p w14:paraId="22C02811" w14:textId="77777777" w:rsidR="00CF3957" w:rsidRPr="00550C85" w:rsidRDefault="00CF3957" w:rsidP="001E71E3">
            <w:pPr>
              <w:keepNext/>
              <w:rPr>
                <w:sz w:val="16"/>
                <w:szCs w:val="16"/>
              </w:rPr>
            </w:pPr>
            <w:r w:rsidRPr="00550C85">
              <w:rPr>
                <w:sz w:val="16"/>
                <w:szCs w:val="16"/>
              </w:rPr>
              <w:t xml:space="preserve">Sveučilište u Osijeku - </w:t>
            </w:r>
            <w:proofErr w:type="spellStart"/>
            <w:r w:rsidRPr="00550C85">
              <w:rPr>
                <w:sz w:val="16"/>
                <w:szCs w:val="16"/>
              </w:rPr>
              <w:t>Addiko</w:t>
            </w:r>
            <w:proofErr w:type="spellEnd"/>
            <w:r w:rsidRPr="00550C85">
              <w:rPr>
                <w:sz w:val="16"/>
                <w:szCs w:val="16"/>
              </w:rPr>
              <w:t xml:space="preserve"> Bank - partija kredita 51900043</w:t>
            </w:r>
          </w:p>
        </w:tc>
        <w:tc>
          <w:tcPr>
            <w:tcW w:w="1061" w:type="dxa"/>
            <w:tcBorders>
              <w:top w:val="nil"/>
              <w:left w:val="nil"/>
              <w:bottom w:val="single" w:sz="4" w:space="0" w:color="auto"/>
              <w:right w:val="single" w:sz="4" w:space="0" w:color="auto"/>
            </w:tcBorders>
            <w:shd w:val="clear" w:color="auto" w:fill="auto"/>
            <w:noWrap/>
            <w:vAlign w:val="center"/>
            <w:hideMark/>
          </w:tcPr>
          <w:p w14:paraId="40CDD7E9" w14:textId="77777777" w:rsidR="00CF3957" w:rsidRPr="00550C85" w:rsidRDefault="00CF3957" w:rsidP="001E71E3">
            <w:pPr>
              <w:keepNext/>
              <w:jc w:val="center"/>
              <w:rPr>
                <w:sz w:val="16"/>
                <w:szCs w:val="16"/>
              </w:rPr>
            </w:pPr>
            <w:r w:rsidRPr="00550C85">
              <w:rPr>
                <w:sz w:val="16"/>
                <w:szCs w:val="16"/>
              </w:rPr>
              <w:t>HRK</w:t>
            </w:r>
          </w:p>
        </w:tc>
        <w:tc>
          <w:tcPr>
            <w:tcW w:w="1410" w:type="dxa"/>
            <w:tcBorders>
              <w:top w:val="nil"/>
              <w:left w:val="nil"/>
              <w:bottom w:val="single" w:sz="4" w:space="0" w:color="auto"/>
              <w:right w:val="single" w:sz="4" w:space="0" w:color="auto"/>
            </w:tcBorders>
            <w:shd w:val="clear" w:color="auto" w:fill="auto"/>
            <w:noWrap/>
            <w:vAlign w:val="center"/>
            <w:hideMark/>
          </w:tcPr>
          <w:p w14:paraId="33E0E747" w14:textId="77777777" w:rsidR="00CF3957" w:rsidRPr="00550C85" w:rsidRDefault="00CF3957" w:rsidP="001E71E3">
            <w:pPr>
              <w:keepNext/>
              <w:jc w:val="right"/>
              <w:rPr>
                <w:b/>
                <w:bCs/>
                <w:sz w:val="16"/>
                <w:szCs w:val="16"/>
              </w:rPr>
            </w:pPr>
            <w:r w:rsidRPr="00550C85">
              <w:rPr>
                <w:b/>
                <w:bCs/>
                <w:sz w:val="16"/>
                <w:szCs w:val="16"/>
              </w:rPr>
              <w:t> </w:t>
            </w:r>
          </w:p>
        </w:tc>
        <w:tc>
          <w:tcPr>
            <w:tcW w:w="1716" w:type="dxa"/>
            <w:tcBorders>
              <w:top w:val="nil"/>
              <w:left w:val="nil"/>
              <w:bottom w:val="nil"/>
              <w:right w:val="single" w:sz="4" w:space="0" w:color="auto"/>
            </w:tcBorders>
            <w:shd w:val="clear" w:color="auto" w:fill="auto"/>
            <w:vAlign w:val="center"/>
            <w:hideMark/>
          </w:tcPr>
          <w:p w14:paraId="56155C45" w14:textId="77777777" w:rsidR="00CF3957" w:rsidRPr="00550C85" w:rsidRDefault="00CF3957" w:rsidP="001E71E3">
            <w:pPr>
              <w:keepNext/>
              <w:jc w:val="right"/>
              <w:rPr>
                <w:sz w:val="16"/>
                <w:szCs w:val="16"/>
              </w:rPr>
            </w:pPr>
            <w:r w:rsidRPr="00550C85">
              <w:rPr>
                <w:sz w:val="16"/>
                <w:szCs w:val="16"/>
              </w:rPr>
              <w:t>108.841.560,42</w:t>
            </w:r>
          </w:p>
        </w:tc>
      </w:tr>
      <w:tr w:rsidR="00CF3957" w:rsidRPr="00550C85" w14:paraId="436E202A" w14:textId="77777777" w:rsidTr="001E71E3">
        <w:trPr>
          <w:trHeight w:val="5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25F0E1C" w14:textId="77777777" w:rsidR="00CF3957" w:rsidRPr="00550C85" w:rsidRDefault="00CF3957" w:rsidP="001E71E3">
            <w:pPr>
              <w:keepNext/>
              <w:jc w:val="center"/>
              <w:rPr>
                <w:sz w:val="16"/>
                <w:szCs w:val="16"/>
              </w:rPr>
            </w:pPr>
            <w:r w:rsidRPr="00550C85">
              <w:rPr>
                <w:sz w:val="16"/>
                <w:szCs w:val="16"/>
              </w:rPr>
              <w:t>5.</w:t>
            </w:r>
          </w:p>
        </w:tc>
        <w:tc>
          <w:tcPr>
            <w:tcW w:w="3696" w:type="dxa"/>
            <w:tcBorders>
              <w:top w:val="nil"/>
              <w:left w:val="nil"/>
              <w:bottom w:val="single" w:sz="4" w:space="0" w:color="auto"/>
              <w:right w:val="single" w:sz="4" w:space="0" w:color="auto"/>
            </w:tcBorders>
            <w:shd w:val="clear" w:color="auto" w:fill="auto"/>
            <w:vAlign w:val="center"/>
            <w:hideMark/>
          </w:tcPr>
          <w:p w14:paraId="73AD254E" w14:textId="77777777" w:rsidR="00CF3957" w:rsidRPr="00550C85" w:rsidRDefault="00CF3957" w:rsidP="001E71E3">
            <w:pPr>
              <w:keepNext/>
              <w:rPr>
                <w:sz w:val="16"/>
                <w:szCs w:val="16"/>
              </w:rPr>
            </w:pPr>
            <w:r w:rsidRPr="00550C85">
              <w:rPr>
                <w:sz w:val="16"/>
                <w:szCs w:val="16"/>
              </w:rPr>
              <w:t>Sveučilište u Zagrebu - PBZ - partija kredita 5710001057</w:t>
            </w:r>
          </w:p>
        </w:tc>
        <w:tc>
          <w:tcPr>
            <w:tcW w:w="1061" w:type="dxa"/>
            <w:tcBorders>
              <w:top w:val="nil"/>
              <w:left w:val="nil"/>
              <w:bottom w:val="single" w:sz="4" w:space="0" w:color="auto"/>
              <w:right w:val="single" w:sz="4" w:space="0" w:color="auto"/>
            </w:tcBorders>
            <w:shd w:val="clear" w:color="auto" w:fill="auto"/>
            <w:noWrap/>
            <w:vAlign w:val="center"/>
            <w:hideMark/>
          </w:tcPr>
          <w:p w14:paraId="547D1912" w14:textId="77777777" w:rsidR="00CF3957" w:rsidRPr="00550C85" w:rsidRDefault="00CF3957" w:rsidP="001E71E3">
            <w:pPr>
              <w:keepNext/>
              <w:jc w:val="center"/>
              <w:rPr>
                <w:sz w:val="16"/>
                <w:szCs w:val="16"/>
              </w:rPr>
            </w:pPr>
            <w:r w:rsidRPr="00550C85">
              <w:rPr>
                <w:sz w:val="16"/>
                <w:szCs w:val="16"/>
              </w:rPr>
              <w:t>HRK</w:t>
            </w:r>
          </w:p>
        </w:tc>
        <w:tc>
          <w:tcPr>
            <w:tcW w:w="1410" w:type="dxa"/>
            <w:tcBorders>
              <w:top w:val="nil"/>
              <w:left w:val="nil"/>
              <w:bottom w:val="single" w:sz="4" w:space="0" w:color="auto"/>
              <w:right w:val="single" w:sz="4" w:space="0" w:color="auto"/>
            </w:tcBorders>
            <w:shd w:val="clear" w:color="auto" w:fill="auto"/>
            <w:noWrap/>
            <w:vAlign w:val="center"/>
            <w:hideMark/>
          </w:tcPr>
          <w:p w14:paraId="5E37AB91" w14:textId="77777777" w:rsidR="00CF3957" w:rsidRPr="00550C85" w:rsidRDefault="00CF3957" w:rsidP="001E71E3">
            <w:pPr>
              <w:keepNext/>
              <w:jc w:val="right"/>
              <w:rPr>
                <w:b/>
                <w:bCs/>
                <w:sz w:val="16"/>
                <w:szCs w:val="16"/>
              </w:rPr>
            </w:pPr>
            <w:r w:rsidRPr="00550C85">
              <w:rPr>
                <w:b/>
                <w:bCs/>
                <w:sz w:val="16"/>
                <w:szCs w:val="16"/>
              </w:rPr>
              <w:t> </w:t>
            </w:r>
          </w:p>
        </w:tc>
        <w:tc>
          <w:tcPr>
            <w:tcW w:w="1716" w:type="dxa"/>
            <w:tcBorders>
              <w:top w:val="single" w:sz="4" w:space="0" w:color="auto"/>
              <w:left w:val="nil"/>
              <w:bottom w:val="nil"/>
              <w:right w:val="single" w:sz="4" w:space="0" w:color="auto"/>
            </w:tcBorders>
            <w:shd w:val="clear" w:color="auto" w:fill="auto"/>
            <w:vAlign w:val="center"/>
            <w:hideMark/>
          </w:tcPr>
          <w:p w14:paraId="18BDC653" w14:textId="77777777" w:rsidR="00CF3957" w:rsidRPr="00550C85" w:rsidRDefault="00CF3957" w:rsidP="001E71E3">
            <w:pPr>
              <w:keepNext/>
              <w:jc w:val="right"/>
              <w:rPr>
                <w:sz w:val="16"/>
                <w:szCs w:val="16"/>
              </w:rPr>
            </w:pPr>
            <w:r w:rsidRPr="00550C85">
              <w:rPr>
                <w:sz w:val="16"/>
                <w:szCs w:val="16"/>
              </w:rPr>
              <w:t>15.597.886,55</w:t>
            </w:r>
          </w:p>
        </w:tc>
      </w:tr>
      <w:tr w:rsidR="00CF3957" w:rsidRPr="00550C85" w14:paraId="6D907F22" w14:textId="77777777" w:rsidTr="001E71E3">
        <w:trPr>
          <w:trHeight w:val="51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2D4C611" w14:textId="77777777" w:rsidR="00CF3957" w:rsidRPr="00550C85" w:rsidRDefault="00CF3957" w:rsidP="001E71E3">
            <w:pPr>
              <w:keepNext/>
              <w:jc w:val="center"/>
              <w:rPr>
                <w:sz w:val="16"/>
                <w:szCs w:val="16"/>
              </w:rPr>
            </w:pPr>
            <w:r w:rsidRPr="00550C85">
              <w:rPr>
                <w:sz w:val="16"/>
                <w:szCs w:val="16"/>
              </w:rPr>
              <w:t>6.</w:t>
            </w:r>
          </w:p>
        </w:tc>
        <w:tc>
          <w:tcPr>
            <w:tcW w:w="3696" w:type="dxa"/>
            <w:tcBorders>
              <w:top w:val="nil"/>
              <w:left w:val="nil"/>
              <w:bottom w:val="single" w:sz="4" w:space="0" w:color="auto"/>
              <w:right w:val="single" w:sz="4" w:space="0" w:color="auto"/>
            </w:tcBorders>
            <w:shd w:val="clear" w:color="auto" w:fill="auto"/>
            <w:vAlign w:val="center"/>
            <w:hideMark/>
          </w:tcPr>
          <w:p w14:paraId="67BF8012" w14:textId="77777777" w:rsidR="00CF3957" w:rsidRPr="00550C85" w:rsidRDefault="00CF3957" w:rsidP="001E71E3">
            <w:pPr>
              <w:keepNext/>
              <w:rPr>
                <w:sz w:val="16"/>
                <w:szCs w:val="16"/>
              </w:rPr>
            </w:pPr>
            <w:r w:rsidRPr="00550C85">
              <w:rPr>
                <w:sz w:val="16"/>
                <w:szCs w:val="16"/>
              </w:rPr>
              <w:t>Sveučilište u Dubrovniku - ZABA - partija kredita 5100180952</w:t>
            </w:r>
          </w:p>
        </w:tc>
        <w:tc>
          <w:tcPr>
            <w:tcW w:w="1061" w:type="dxa"/>
            <w:tcBorders>
              <w:top w:val="nil"/>
              <w:left w:val="nil"/>
              <w:bottom w:val="single" w:sz="4" w:space="0" w:color="auto"/>
              <w:right w:val="single" w:sz="4" w:space="0" w:color="auto"/>
            </w:tcBorders>
            <w:shd w:val="clear" w:color="auto" w:fill="auto"/>
            <w:noWrap/>
            <w:vAlign w:val="center"/>
            <w:hideMark/>
          </w:tcPr>
          <w:p w14:paraId="38A12328" w14:textId="77777777" w:rsidR="00CF3957" w:rsidRPr="00550C85" w:rsidRDefault="00CF3957" w:rsidP="001E71E3">
            <w:pPr>
              <w:keepNext/>
              <w:jc w:val="center"/>
              <w:rPr>
                <w:sz w:val="16"/>
                <w:szCs w:val="16"/>
              </w:rPr>
            </w:pPr>
            <w:r w:rsidRPr="00550C85">
              <w:rPr>
                <w:sz w:val="16"/>
                <w:szCs w:val="16"/>
              </w:rPr>
              <w:t>HRK</w:t>
            </w:r>
          </w:p>
        </w:tc>
        <w:tc>
          <w:tcPr>
            <w:tcW w:w="1410" w:type="dxa"/>
            <w:tcBorders>
              <w:top w:val="nil"/>
              <w:left w:val="nil"/>
              <w:bottom w:val="single" w:sz="4" w:space="0" w:color="auto"/>
              <w:right w:val="single" w:sz="4" w:space="0" w:color="auto"/>
            </w:tcBorders>
            <w:shd w:val="clear" w:color="auto" w:fill="auto"/>
            <w:noWrap/>
            <w:vAlign w:val="center"/>
            <w:hideMark/>
          </w:tcPr>
          <w:p w14:paraId="18CE8F99" w14:textId="77777777" w:rsidR="00CF3957" w:rsidRPr="00550C85" w:rsidRDefault="00CF3957" w:rsidP="001E71E3">
            <w:pPr>
              <w:keepNext/>
              <w:jc w:val="right"/>
              <w:rPr>
                <w:b/>
                <w:bCs/>
                <w:sz w:val="16"/>
                <w:szCs w:val="16"/>
              </w:rPr>
            </w:pPr>
            <w:r w:rsidRPr="00550C85">
              <w:rPr>
                <w:b/>
                <w:bCs/>
                <w:sz w:val="16"/>
                <w:szCs w:val="16"/>
              </w:rPr>
              <w:t> </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4767A0CC" w14:textId="77777777" w:rsidR="00CF3957" w:rsidRPr="00550C85" w:rsidRDefault="00CF3957" w:rsidP="001E71E3">
            <w:pPr>
              <w:keepNext/>
              <w:jc w:val="right"/>
              <w:rPr>
                <w:sz w:val="16"/>
                <w:szCs w:val="16"/>
              </w:rPr>
            </w:pPr>
            <w:r w:rsidRPr="00550C85">
              <w:rPr>
                <w:sz w:val="16"/>
                <w:szCs w:val="16"/>
              </w:rPr>
              <w:t>11.801.205,00</w:t>
            </w:r>
          </w:p>
        </w:tc>
      </w:tr>
      <w:tr w:rsidR="00CF3957" w:rsidRPr="00550C85" w14:paraId="79AC7FE0" w14:textId="77777777" w:rsidTr="001E71E3">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A3110" w14:textId="77777777" w:rsidR="00CF3957" w:rsidRPr="00550C85" w:rsidRDefault="00CF3957" w:rsidP="001E71E3">
            <w:pPr>
              <w:keepNext/>
              <w:jc w:val="center"/>
              <w:rPr>
                <w:b/>
                <w:bCs/>
                <w:sz w:val="16"/>
                <w:szCs w:val="16"/>
              </w:rPr>
            </w:pPr>
          </w:p>
        </w:tc>
        <w:tc>
          <w:tcPr>
            <w:tcW w:w="3696" w:type="dxa"/>
            <w:tcBorders>
              <w:top w:val="single" w:sz="4" w:space="0" w:color="auto"/>
              <w:left w:val="nil"/>
              <w:bottom w:val="single" w:sz="4" w:space="0" w:color="auto"/>
              <w:right w:val="single" w:sz="4" w:space="0" w:color="auto"/>
            </w:tcBorders>
            <w:shd w:val="clear" w:color="auto" w:fill="auto"/>
            <w:noWrap/>
            <w:vAlign w:val="center"/>
            <w:hideMark/>
          </w:tcPr>
          <w:p w14:paraId="13E91A71" w14:textId="77777777" w:rsidR="00CF3957" w:rsidRPr="00550C85" w:rsidRDefault="00CF3957" w:rsidP="001E71E3">
            <w:pPr>
              <w:keepNext/>
              <w:rPr>
                <w:sz w:val="16"/>
                <w:szCs w:val="16"/>
              </w:rPr>
            </w:pPr>
            <w:r w:rsidRPr="00550C85">
              <w:rPr>
                <w:b/>
                <w:bCs/>
                <w:sz w:val="16"/>
                <w:szCs w:val="16"/>
              </w:rPr>
              <w:t>UKUPNO</w:t>
            </w:r>
            <w:r w:rsidRPr="00550C85">
              <w:rPr>
                <w:sz w:val="16"/>
                <w:szCs w:val="16"/>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70A81C8B" w14:textId="77777777" w:rsidR="00CF3957" w:rsidRPr="00550C85" w:rsidRDefault="00CF3957" w:rsidP="001E71E3">
            <w:pPr>
              <w:keepNext/>
              <w:jc w:val="center"/>
              <w:rPr>
                <w:b/>
                <w:bCs/>
                <w:sz w:val="16"/>
                <w:szCs w:val="16"/>
              </w:rPr>
            </w:pPr>
            <w:r w:rsidRPr="00550C85">
              <w:rPr>
                <w:b/>
                <w:bCs/>
                <w:sz w:val="16"/>
                <w:szCs w:val="16"/>
              </w:rPr>
              <w:t>HRK</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7C5BE2E0" w14:textId="77777777" w:rsidR="00CF3957" w:rsidRPr="00550C85" w:rsidRDefault="00CF3957" w:rsidP="001E71E3">
            <w:pPr>
              <w:keepNext/>
              <w:jc w:val="right"/>
              <w:rPr>
                <w:b/>
                <w:bCs/>
                <w:sz w:val="16"/>
                <w:szCs w:val="16"/>
              </w:rPr>
            </w:pPr>
            <w:r w:rsidRPr="00550C85">
              <w:rPr>
                <w:b/>
                <w:bCs/>
                <w:sz w:val="16"/>
                <w:szCs w:val="16"/>
              </w:rPr>
              <w:t> </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6C1B983E" w14:textId="77777777" w:rsidR="00CF3957" w:rsidRPr="00550C85" w:rsidRDefault="00CF3957" w:rsidP="001E71E3">
            <w:pPr>
              <w:keepNext/>
              <w:jc w:val="right"/>
              <w:rPr>
                <w:b/>
                <w:bCs/>
                <w:sz w:val="16"/>
                <w:szCs w:val="16"/>
              </w:rPr>
            </w:pPr>
            <w:r w:rsidRPr="00550C85">
              <w:rPr>
                <w:b/>
                <w:bCs/>
                <w:sz w:val="16"/>
                <w:szCs w:val="16"/>
              </w:rPr>
              <w:t>230.471.920,91</w:t>
            </w:r>
          </w:p>
        </w:tc>
      </w:tr>
    </w:tbl>
    <w:p w14:paraId="69B2B03B" w14:textId="77777777" w:rsidR="00CF3957" w:rsidRDefault="00CF3957" w:rsidP="00CF3957">
      <w:pPr>
        <w:keepNext/>
        <w:rPr>
          <w:color w:val="000000"/>
        </w:rPr>
      </w:pPr>
    </w:p>
    <w:p w14:paraId="071FAB04" w14:textId="77777777" w:rsidR="00CF3957" w:rsidRDefault="00CF3957" w:rsidP="00CF3957">
      <w:pPr>
        <w:keepNext/>
        <w:rPr>
          <w:color w:val="000000"/>
        </w:rPr>
      </w:pPr>
    </w:p>
    <w:p w14:paraId="64F07B4A" w14:textId="77777777" w:rsidR="00CF3957" w:rsidRPr="00AA6B88" w:rsidRDefault="00CF3957" w:rsidP="00CF3957">
      <w:pPr>
        <w:keepNext/>
        <w:rPr>
          <w:color w:val="000000"/>
        </w:rPr>
      </w:pPr>
    </w:p>
    <w:p w14:paraId="78B6A09E" w14:textId="77777777" w:rsidR="00CF3957" w:rsidRPr="00C85DCC" w:rsidRDefault="00CF3957" w:rsidP="00CF3957">
      <w:pPr>
        <w:keepNext/>
        <w:jc w:val="center"/>
        <w:rPr>
          <w:bCs/>
          <w:sz w:val="28"/>
          <w:szCs w:val="28"/>
        </w:rPr>
      </w:pPr>
      <w:r>
        <w:rPr>
          <w:bCs/>
          <w:sz w:val="28"/>
          <w:szCs w:val="28"/>
        </w:rPr>
        <w:t>Bilješka 26</w:t>
      </w:r>
      <w:r w:rsidRPr="00C85DCC">
        <w:rPr>
          <w:bCs/>
          <w:sz w:val="28"/>
          <w:szCs w:val="28"/>
        </w:rPr>
        <w:t>.</w:t>
      </w:r>
    </w:p>
    <w:p w14:paraId="113CCC55" w14:textId="77777777" w:rsidR="00CF3957" w:rsidRPr="00D42A73" w:rsidRDefault="00CF3957" w:rsidP="00CF3957">
      <w:pPr>
        <w:jc w:val="center"/>
        <w:rPr>
          <w:bCs/>
          <w:sz w:val="28"/>
          <w:szCs w:val="28"/>
        </w:rPr>
      </w:pPr>
      <w:r w:rsidRPr="00203418">
        <w:rPr>
          <w:bCs/>
          <w:sz w:val="28"/>
          <w:szCs w:val="28"/>
        </w:rPr>
        <w:t xml:space="preserve">Šifra </w:t>
      </w:r>
      <w:r>
        <w:rPr>
          <w:bCs/>
          <w:sz w:val="28"/>
          <w:szCs w:val="28"/>
        </w:rPr>
        <w:t>2645</w:t>
      </w:r>
      <w:r w:rsidRPr="00D42A73">
        <w:rPr>
          <w:bCs/>
          <w:sz w:val="28"/>
          <w:szCs w:val="28"/>
        </w:rPr>
        <w:t xml:space="preserve"> Obveze za zajmove od ostalih tuzemnih financijskih institucija izvan javnog sektora</w:t>
      </w:r>
    </w:p>
    <w:p w14:paraId="647780F7" w14:textId="77777777" w:rsidR="00CF3957" w:rsidRDefault="00CF3957" w:rsidP="00CF3957">
      <w:pPr>
        <w:jc w:val="both"/>
        <w:rPr>
          <w:bCs/>
          <w:szCs w:val="28"/>
        </w:rPr>
      </w:pPr>
    </w:p>
    <w:p w14:paraId="579B6463" w14:textId="77777777" w:rsidR="00CF3957" w:rsidRDefault="00CF3957" w:rsidP="00CF3957">
      <w:pPr>
        <w:spacing w:before="120" w:after="120"/>
        <w:jc w:val="both"/>
        <w:rPr>
          <w:bCs/>
          <w:szCs w:val="28"/>
        </w:rPr>
      </w:pPr>
      <w:r>
        <w:rPr>
          <w:bCs/>
          <w:szCs w:val="28"/>
        </w:rPr>
        <w:t xml:space="preserve">Na šifri 2645 </w:t>
      </w:r>
      <w:r w:rsidRPr="00F43F22">
        <w:rPr>
          <w:bCs/>
          <w:i/>
          <w:szCs w:val="28"/>
        </w:rPr>
        <w:t>Obveze za zajmove od ostalih tuzemnih financijskih institucija izvan javnog sektora</w:t>
      </w:r>
      <w:r>
        <w:rPr>
          <w:bCs/>
          <w:szCs w:val="28"/>
        </w:rPr>
        <w:t xml:space="preserve"> iskazano je stanje na 31. prosinca 2022. u iznosu 358.862.221,91 kuna.</w:t>
      </w:r>
    </w:p>
    <w:p w14:paraId="7F670FF0" w14:textId="77777777" w:rsidR="00CF3957" w:rsidRDefault="00CF3957" w:rsidP="00CF3957">
      <w:pPr>
        <w:pStyle w:val="StandardWeb"/>
        <w:shd w:val="clear" w:color="auto" w:fill="FFFFFF"/>
        <w:spacing w:before="120" w:beforeAutospacing="0" w:after="120" w:afterAutospacing="0"/>
        <w:jc w:val="both"/>
        <w:rPr>
          <w:rFonts w:ascii="Calibri" w:hAnsi="Calibri" w:cs="Calibri"/>
          <w:color w:val="000000"/>
        </w:rPr>
      </w:pPr>
      <w:r>
        <w:rPr>
          <w:color w:val="000000"/>
        </w:rPr>
        <w:t>Pravilnik o povezivanju podataka o doprinosima za obvezna mirovinska osiguranja (Narodne novine, broj 71/</w:t>
      </w:r>
      <w:r w:rsidRPr="00FB74C8">
        <w:t>18 i 39/22)</w:t>
      </w:r>
      <w:r>
        <w:rPr>
          <w:color w:val="000000"/>
        </w:rPr>
        <w:t xml:space="preserve"> propisuje način, rokove povezivanja podataka te evidentiranje i izvješćivanje o povezanim podacima i raspored nepovezanih uplata doprinosa za mirovinsko osiguranje temeljem individualne kapitalizirane štednje bez pristanka obveznika plaćanja dok Pravilnik o postupanju Središnjeg registra osiguranika i mirovinskih društava prema članovima obveznih mirovinskih fondova (Narodne novine, br. 60/14, 135/15, 86/18, 56/19 i 91/19), (dalje u tekstu: Pravilnik o postupanju) propisuje, između ostalog, način plaćanja doprinosa, način postupanja sa sredstvima na prolaznom i privremenom računu te način prosljeđivanja sredstava.</w:t>
      </w:r>
    </w:p>
    <w:p w14:paraId="2FDB728F" w14:textId="77777777" w:rsidR="00CF3957" w:rsidRDefault="00CF3957" w:rsidP="00CF3957">
      <w:pPr>
        <w:pStyle w:val="StandardWeb"/>
        <w:shd w:val="clear" w:color="auto" w:fill="FFFFFF"/>
        <w:spacing w:before="120" w:beforeAutospacing="0" w:after="120" w:afterAutospacing="0"/>
        <w:jc w:val="both"/>
        <w:rPr>
          <w:rFonts w:ascii="Calibri" w:hAnsi="Calibri" w:cs="Calibri"/>
          <w:color w:val="000000"/>
        </w:rPr>
      </w:pPr>
      <w:r>
        <w:rPr>
          <w:color w:val="000000"/>
        </w:rPr>
        <w:t>Sukladno čl. 9. st. 2. Pravilnika o postupanju REGOS sredstva s prolaznog računa prosljeđuje sljedeći radni dan od dana povezivanja podataka o obračunatoj obvezi doprinosa na osobne račune članova mirovinskih fondova, sukladno propisu koji regulira povezivanje podataka o doprinosima za obvezna mirovinska osiguranja. Prolazni račun je račun REGOS-a za uplatu doprinosa za obvezno mirovinsko osiguranje na temelju individualne kapitalizirane štednje (drugi stup). U skladu s Pravilnikom o postupanju REGOS bez odgode prosljeđuje na privremeni račun protekom osam radnih dana od datuma uplate na prolazni račun nepovezane uplate doprinosa definirane propisom o povezivanju podataka o doprinosima za obvezna mirovinska osiguranja te uplaćena sredstva doprinosa za osiguranike koji nisu odabrali mirovinski fond.</w:t>
      </w:r>
    </w:p>
    <w:p w14:paraId="10C6A1E8" w14:textId="77777777" w:rsidR="00CF3957" w:rsidRPr="00FB74C8" w:rsidRDefault="00CF3957" w:rsidP="00CF3957">
      <w:pPr>
        <w:pStyle w:val="StandardWeb"/>
        <w:shd w:val="clear" w:color="auto" w:fill="FFFFFF"/>
        <w:spacing w:before="120" w:beforeAutospacing="0" w:after="120" w:afterAutospacing="0"/>
        <w:jc w:val="both"/>
        <w:rPr>
          <w:rFonts w:ascii="Calibri" w:hAnsi="Calibri" w:cs="Calibri"/>
        </w:rPr>
      </w:pPr>
      <w:r>
        <w:rPr>
          <w:color w:val="000000"/>
        </w:rPr>
        <w:t xml:space="preserve">Nastavno na navedeno, sredstva od nepovezanih uplata usmjeravaju se s prolaznog računa na privremeni račun i odmah istog dana na račun državnog proračuna. Također, svakog prvog radnog dana u tjednu za prethodni tjedan REGOS, nakon naknadnog povezivanja uplata doprinosa za </w:t>
      </w:r>
      <w:r>
        <w:rPr>
          <w:color w:val="000000"/>
        </w:rPr>
        <w:lastRenderedPageBreak/>
        <w:t xml:space="preserve">mirovinsko osiguranje temeljem individualne kapitalizirane štednje (drugi stup), </w:t>
      </w:r>
      <w:r w:rsidRPr="00FB74C8">
        <w:t>dostavlja obavijest Ministarstvu financija o ukupnom iznosu sredstava naknadno povezanih uplata te se ista, sukladno dostavljenoj obavijesti, usmjeravaju s računa državnog proračuna na privremeni račun i odmah istog dana na prolazni račun REGOS-a.</w:t>
      </w:r>
    </w:p>
    <w:p w14:paraId="2F3DFF79" w14:textId="77777777" w:rsidR="00CF3957" w:rsidRDefault="00CF3957" w:rsidP="00CF3957">
      <w:pPr>
        <w:pStyle w:val="StandardWeb"/>
        <w:shd w:val="clear" w:color="auto" w:fill="FFFFFF"/>
        <w:spacing w:before="120" w:beforeAutospacing="0" w:after="120" w:afterAutospacing="0"/>
        <w:jc w:val="both"/>
        <w:rPr>
          <w:rFonts w:ascii="Calibri" w:hAnsi="Calibri" w:cs="Calibri"/>
          <w:color w:val="000000"/>
        </w:rPr>
      </w:pPr>
      <w:r w:rsidRPr="00FB74C8">
        <w:t>Nakon povezivanja nepovezanih uplata, REGOS je dužan sredstva, koja su na prolazni račun proslijeđena na prethodno navedeni način, s prolaznog računa proslijediti na osobne račune članova mirovinskih fondova</w:t>
      </w:r>
      <w:r>
        <w:rPr>
          <w:color w:val="000000"/>
        </w:rPr>
        <w:t>, a za osiguranike koji nisu odabrali mirovinski fond, REGOS uplaćena sredstva doprinosa prosljeđuje na osobne račune članova po učlanjenju u mirovinski fond.</w:t>
      </w:r>
    </w:p>
    <w:p w14:paraId="787E95A7" w14:textId="77777777" w:rsidR="00CF3957" w:rsidRPr="00D42A73" w:rsidRDefault="00CF3957" w:rsidP="00CF3957">
      <w:pPr>
        <w:keepNext/>
        <w:jc w:val="both"/>
        <w:rPr>
          <w:b/>
          <w:sz w:val="20"/>
          <w:szCs w:val="20"/>
        </w:rPr>
      </w:pPr>
    </w:p>
    <w:p w14:paraId="2B401990" w14:textId="77777777" w:rsidR="00CF3957" w:rsidRPr="003B30B6" w:rsidRDefault="00CF3957" w:rsidP="00CF3957">
      <w:pPr>
        <w:jc w:val="center"/>
        <w:rPr>
          <w:bCs/>
          <w:sz w:val="28"/>
          <w:szCs w:val="28"/>
        </w:rPr>
      </w:pPr>
    </w:p>
    <w:p w14:paraId="55216062" w14:textId="77777777" w:rsidR="00CF3957" w:rsidRPr="00C85DCC" w:rsidRDefault="00CF3957" w:rsidP="00CF3957">
      <w:pPr>
        <w:keepNext/>
        <w:jc w:val="center"/>
        <w:rPr>
          <w:bCs/>
          <w:sz w:val="28"/>
          <w:szCs w:val="28"/>
        </w:rPr>
      </w:pPr>
      <w:r>
        <w:rPr>
          <w:bCs/>
          <w:sz w:val="28"/>
          <w:szCs w:val="28"/>
        </w:rPr>
        <w:t>Bilješka 27</w:t>
      </w:r>
      <w:r w:rsidRPr="00C85DCC">
        <w:rPr>
          <w:bCs/>
          <w:sz w:val="28"/>
          <w:szCs w:val="28"/>
        </w:rPr>
        <w:t xml:space="preserve">. </w:t>
      </w:r>
    </w:p>
    <w:p w14:paraId="7C7B7CD8" w14:textId="77777777" w:rsidR="00CF3957" w:rsidRPr="00C85DCC" w:rsidRDefault="00CF3957" w:rsidP="00CF3957">
      <w:pPr>
        <w:keepNext/>
        <w:jc w:val="center"/>
        <w:rPr>
          <w:bCs/>
          <w:sz w:val="28"/>
          <w:szCs w:val="28"/>
        </w:rPr>
      </w:pPr>
      <w:r>
        <w:rPr>
          <w:bCs/>
          <w:sz w:val="28"/>
          <w:szCs w:val="28"/>
        </w:rPr>
        <w:t>Šifra 2613</w:t>
      </w:r>
      <w:r w:rsidRPr="00C85DCC">
        <w:rPr>
          <w:bCs/>
          <w:sz w:val="28"/>
          <w:szCs w:val="28"/>
        </w:rPr>
        <w:t xml:space="preserve"> Obveze za zajmove od međunarodnih organizacija</w:t>
      </w:r>
    </w:p>
    <w:p w14:paraId="2871643B" w14:textId="77777777" w:rsidR="00CF3957" w:rsidRDefault="00CF3957" w:rsidP="00CF3957">
      <w:pPr>
        <w:jc w:val="both"/>
        <w:rPr>
          <w:bCs/>
          <w:szCs w:val="28"/>
        </w:rPr>
      </w:pPr>
    </w:p>
    <w:p w14:paraId="211EE55B" w14:textId="77777777" w:rsidR="00CF3957" w:rsidRPr="00C2390B" w:rsidRDefault="00CF3957" w:rsidP="00CF3957">
      <w:pPr>
        <w:jc w:val="both"/>
        <w:rPr>
          <w:bCs/>
          <w:szCs w:val="28"/>
        </w:rPr>
      </w:pPr>
      <w:r w:rsidRPr="00C2390B">
        <w:rPr>
          <w:bCs/>
          <w:szCs w:val="28"/>
        </w:rPr>
        <w:t xml:space="preserve">Iznos od </w:t>
      </w:r>
      <w:r>
        <w:rPr>
          <w:bCs/>
          <w:szCs w:val="28"/>
        </w:rPr>
        <w:t>9.380.221.112,94</w:t>
      </w:r>
      <w:r w:rsidRPr="00C2390B">
        <w:rPr>
          <w:bCs/>
          <w:szCs w:val="28"/>
        </w:rPr>
        <w:t xml:space="preserve"> </w:t>
      </w:r>
      <w:r w:rsidRPr="00C2390B">
        <w:rPr>
          <w:bCs/>
        </w:rPr>
        <w:t>kuna</w:t>
      </w:r>
      <w:r w:rsidRPr="00C2390B">
        <w:rPr>
          <w:bCs/>
          <w:szCs w:val="28"/>
        </w:rPr>
        <w:t xml:space="preserve"> </w:t>
      </w:r>
      <w:r>
        <w:rPr>
          <w:bCs/>
          <w:szCs w:val="28"/>
        </w:rPr>
        <w:t>na dan 31. prosinca</w:t>
      </w:r>
      <w:r w:rsidRPr="00C2390B">
        <w:rPr>
          <w:bCs/>
          <w:szCs w:val="28"/>
        </w:rPr>
        <w:t xml:space="preserve"> 202</w:t>
      </w:r>
      <w:r>
        <w:rPr>
          <w:bCs/>
          <w:szCs w:val="28"/>
        </w:rPr>
        <w:t>2</w:t>
      </w:r>
      <w:r w:rsidRPr="00C2390B">
        <w:rPr>
          <w:bCs/>
          <w:szCs w:val="28"/>
        </w:rPr>
        <w:t>.</w:t>
      </w:r>
      <w:r>
        <w:rPr>
          <w:bCs/>
          <w:szCs w:val="28"/>
        </w:rPr>
        <w:t xml:space="preserve"> godine</w:t>
      </w:r>
      <w:r w:rsidRPr="00C2390B">
        <w:rPr>
          <w:bCs/>
          <w:szCs w:val="28"/>
        </w:rPr>
        <w:t xml:space="preserve"> odnosi se na obveze za zajmove od međunarodnih organizacija. Analitički prikaz o</w:t>
      </w:r>
      <w:r>
        <w:rPr>
          <w:bCs/>
          <w:szCs w:val="28"/>
        </w:rPr>
        <w:t>vih zajmova daje se u Tablici 14</w:t>
      </w:r>
      <w:r w:rsidRPr="00C2390B">
        <w:rPr>
          <w:bCs/>
          <w:szCs w:val="28"/>
        </w:rPr>
        <w:t>.</w:t>
      </w:r>
    </w:p>
    <w:p w14:paraId="39519732" w14:textId="77777777" w:rsidR="00CF3957" w:rsidRDefault="00CF3957" w:rsidP="00CF3957">
      <w:pPr>
        <w:jc w:val="both"/>
        <w:rPr>
          <w:bCs/>
          <w:szCs w:val="28"/>
        </w:rPr>
      </w:pPr>
    </w:p>
    <w:p w14:paraId="0A22296A" w14:textId="77777777" w:rsidR="00CF3957" w:rsidRPr="00C2390B" w:rsidRDefault="00CF3957" w:rsidP="00CF3957">
      <w:pPr>
        <w:jc w:val="both"/>
        <w:rPr>
          <w:bCs/>
          <w:szCs w:val="28"/>
        </w:rPr>
      </w:pPr>
    </w:p>
    <w:p w14:paraId="5B9B8F96" w14:textId="77777777" w:rsidR="00CF3957" w:rsidRPr="00C2390B" w:rsidRDefault="00CF3957" w:rsidP="00CF3957">
      <w:pPr>
        <w:keepNext/>
        <w:jc w:val="both"/>
        <w:rPr>
          <w:b/>
          <w:sz w:val="20"/>
          <w:szCs w:val="20"/>
        </w:rPr>
      </w:pPr>
      <w:r>
        <w:rPr>
          <w:b/>
          <w:sz w:val="20"/>
          <w:szCs w:val="20"/>
        </w:rPr>
        <w:t>Tablica 14</w:t>
      </w:r>
      <w:r w:rsidRPr="00C2390B">
        <w:rPr>
          <w:b/>
          <w:sz w:val="20"/>
          <w:szCs w:val="20"/>
        </w:rPr>
        <w:t>.</w:t>
      </w:r>
    </w:p>
    <w:tbl>
      <w:tblPr>
        <w:tblW w:w="9653" w:type="dxa"/>
        <w:jc w:val="center"/>
        <w:tblLook w:val="04A0" w:firstRow="1" w:lastRow="0" w:firstColumn="1" w:lastColumn="0" w:noHBand="0" w:noVBand="1"/>
      </w:tblPr>
      <w:tblGrid>
        <w:gridCol w:w="1029"/>
        <w:gridCol w:w="4009"/>
        <w:gridCol w:w="745"/>
        <w:gridCol w:w="755"/>
        <w:gridCol w:w="1537"/>
        <w:gridCol w:w="1578"/>
      </w:tblGrid>
      <w:tr w:rsidR="00CF3957" w:rsidRPr="00B76D81" w14:paraId="547BC9EE" w14:textId="77777777" w:rsidTr="001E71E3">
        <w:trPr>
          <w:trHeight w:val="830"/>
          <w:jc w:val="center"/>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63A7" w14:textId="77777777" w:rsidR="00CF3957" w:rsidRPr="00B76D81" w:rsidRDefault="00CF3957" w:rsidP="001E71E3">
            <w:pPr>
              <w:jc w:val="center"/>
              <w:rPr>
                <w:b/>
                <w:bCs/>
                <w:sz w:val="18"/>
                <w:szCs w:val="18"/>
              </w:rPr>
            </w:pPr>
            <w:r w:rsidRPr="00B76D81">
              <w:rPr>
                <w:b/>
                <w:bCs/>
                <w:sz w:val="18"/>
                <w:szCs w:val="18"/>
              </w:rPr>
              <w:t>Red. broj</w:t>
            </w:r>
          </w:p>
        </w:tc>
        <w:tc>
          <w:tcPr>
            <w:tcW w:w="4009" w:type="dxa"/>
            <w:tcBorders>
              <w:top w:val="single" w:sz="4" w:space="0" w:color="auto"/>
              <w:left w:val="nil"/>
              <w:bottom w:val="single" w:sz="4" w:space="0" w:color="auto"/>
              <w:right w:val="single" w:sz="4" w:space="0" w:color="auto"/>
            </w:tcBorders>
            <w:shd w:val="clear" w:color="auto" w:fill="auto"/>
            <w:vAlign w:val="center"/>
            <w:hideMark/>
          </w:tcPr>
          <w:p w14:paraId="305BE8AB" w14:textId="77777777" w:rsidR="00CF3957" w:rsidRPr="00B76D81" w:rsidRDefault="00CF3957" w:rsidP="001E71E3">
            <w:pPr>
              <w:jc w:val="center"/>
              <w:rPr>
                <w:b/>
                <w:bCs/>
                <w:sz w:val="18"/>
                <w:szCs w:val="18"/>
              </w:rPr>
            </w:pPr>
            <w:r w:rsidRPr="00B76D81">
              <w:rPr>
                <w:b/>
                <w:bCs/>
                <w:sz w:val="18"/>
                <w:szCs w:val="18"/>
              </w:rPr>
              <w:t>Namjena</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50F9AA48" w14:textId="77777777" w:rsidR="00CF3957" w:rsidRPr="00B76D81" w:rsidRDefault="00CF3957" w:rsidP="001E71E3">
            <w:pPr>
              <w:jc w:val="center"/>
              <w:rPr>
                <w:b/>
                <w:bCs/>
                <w:sz w:val="18"/>
                <w:szCs w:val="18"/>
              </w:rPr>
            </w:pPr>
            <w:r w:rsidRPr="00B76D81">
              <w:rPr>
                <w:b/>
                <w:bCs/>
                <w:sz w:val="18"/>
                <w:szCs w:val="18"/>
              </w:rPr>
              <w:t>Banka</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150674E9" w14:textId="77777777" w:rsidR="00CF3957" w:rsidRPr="00B76D81" w:rsidRDefault="00CF3957" w:rsidP="001E71E3">
            <w:pPr>
              <w:jc w:val="center"/>
              <w:rPr>
                <w:b/>
                <w:bCs/>
                <w:sz w:val="18"/>
                <w:szCs w:val="18"/>
              </w:rPr>
            </w:pPr>
            <w:r w:rsidRPr="00B76D81">
              <w:rPr>
                <w:b/>
                <w:bCs/>
                <w:sz w:val="18"/>
                <w:szCs w:val="18"/>
              </w:rPr>
              <w:t>Valuta</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33BFBF93" w14:textId="77777777" w:rsidR="00CF3957" w:rsidRPr="00B76D81" w:rsidRDefault="00CF3957" w:rsidP="001E71E3">
            <w:pPr>
              <w:jc w:val="center"/>
              <w:rPr>
                <w:b/>
                <w:bCs/>
                <w:sz w:val="18"/>
                <w:szCs w:val="18"/>
              </w:rPr>
            </w:pPr>
            <w:r w:rsidRPr="00B76D81">
              <w:rPr>
                <w:b/>
                <w:bCs/>
                <w:sz w:val="18"/>
                <w:szCs w:val="18"/>
              </w:rPr>
              <w:t>Stanje obveza na dan 31.12.2022.</w:t>
            </w:r>
            <w:r>
              <w:rPr>
                <w:b/>
                <w:bCs/>
                <w:sz w:val="18"/>
                <w:szCs w:val="18"/>
              </w:rPr>
              <w:t xml:space="preserve"> u originalnoj valuti</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5E253554" w14:textId="77777777" w:rsidR="00CF3957" w:rsidRPr="00B76D81" w:rsidRDefault="00CF3957" w:rsidP="001E71E3">
            <w:pPr>
              <w:jc w:val="center"/>
              <w:rPr>
                <w:b/>
                <w:bCs/>
                <w:sz w:val="18"/>
                <w:szCs w:val="18"/>
              </w:rPr>
            </w:pPr>
            <w:r w:rsidRPr="00B76D81">
              <w:rPr>
                <w:b/>
                <w:bCs/>
                <w:sz w:val="18"/>
                <w:szCs w:val="18"/>
              </w:rPr>
              <w:t>Stanje obveza na 31.12.2022.              u kunama</w:t>
            </w:r>
          </w:p>
        </w:tc>
      </w:tr>
      <w:tr w:rsidR="00CF3957" w:rsidRPr="00B76D81" w14:paraId="60665DA6"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BFE9750" w14:textId="77777777" w:rsidR="00CF3957" w:rsidRPr="00B76D81" w:rsidRDefault="00CF3957" w:rsidP="001E71E3">
            <w:pPr>
              <w:jc w:val="center"/>
              <w:rPr>
                <w:sz w:val="18"/>
                <w:szCs w:val="18"/>
              </w:rPr>
            </w:pPr>
            <w:r w:rsidRPr="00B76D81">
              <w:rPr>
                <w:sz w:val="18"/>
                <w:szCs w:val="18"/>
              </w:rPr>
              <w:t>1.</w:t>
            </w:r>
          </w:p>
        </w:tc>
        <w:tc>
          <w:tcPr>
            <w:tcW w:w="4009" w:type="dxa"/>
            <w:tcBorders>
              <w:top w:val="nil"/>
              <w:left w:val="nil"/>
              <w:bottom w:val="single" w:sz="4" w:space="0" w:color="auto"/>
              <w:right w:val="single" w:sz="4" w:space="0" w:color="auto"/>
            </w:tcBorders>
            <w:shd w:val="clear" w:color="auto" w:fill="auto"/>
            <w:vAlign w:val="center"/>
            <w:hideMark/>
          </w:tcPr>
          <w:p w14:paraId="60FFA875" w14:textId="77777777" w:rsidR="00CF3957" w:rsidRPr="00B76D81" w:rsidRDefault="00CF3957" w:rsidP="001E71E3">
            <w:pPr>
              <w:rPr>
                <w:sz w:val="18"/>
                <w:szCs w:val="18"/>
              </w:rPr>
            </w:pPr>
            <w:r w:rsidRPr="00B76D81">
              <w:rPr>
                <w:sz w:val="18"/>
                <w:szCs w:val="18"/>
              </w:rPr>
              <w:t>F/P 01351-003-001 - Projekt obnove zdravstvene infrastrukture</w:t>
            </w:r>
          </w:p>
        </w:tc>
        <w:tc>
          <w:tcPr>
            <w:tcW w:w="745" w:type="dxa"/>
            <w:tcBorders>
              <w:top w:val="nil"/>
              <w:left w:val="nil"/>
              <w:bottom w:val="single" w:sz="4" w:space="0" w:color="auto"/>
              <w:right w:val="single" w:sz="4" w:space="0" w:color="auto"/>
            </w:tcBorders>
            <w:shd w:val="clear" w:color="auto" w:fill="auto"/>
            <w:noWrap/>
            <w:vAlign w:val="center"/>
            <w:hideMark/>
          </w:tcPr>
          <w:p w14:paraId="4AEE8CE2"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3C9FA806" w14:textId="77777777" w:rsidR="00CF3957" w:rsidRPr="00B76D81" w:rsidRDefault="00CF3957" w:rsidP="001E71E3">
            <w:pPr>
              <w:jc w:val="center"/>
              <w:rPr>
                <w:sz w:val="18"/>
                <w:szCs w:val="18"/>
              </w:rPr>
            </w:pPr>
            <w:r w:rsidRPr="00B76D81">
              <w:rPr>
                <w:sz w:val="18"/>
                <w:szCs w:val="18"/>
              </w:rPr>
              <w:t>EUR</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B390" w14:textId="77777777" w:rsidR="00CF3957" w:rsidRPr="00B76D81" w:rsidRDefault="00CF3957" w:rsidP="001E71E3">
            <w:pPr>
              <w:jc w:val="right"/>
              <w:rPr>
                <w:sz w:val="18"/>
                <w:szCs w:val="18"/>
              </w:rPr>
            </w:pPr>
            <w:r w:rsidRPr="00B76D81">
              <w:rPr>
                <w:sz w:val="18"/>
                <w:szCs w:val="18"/>
              </w:rPr>
              <w:t>1.300.000,00</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7CCB" w14:textId="77777777" w:rsidR="00CF3957" w:rsidRPr="00B76D81" w:rsidRDefault="00CF3957" w:rsidP="001E71E3">
            <w:pPr>
              <w:jc w:val="right"/>
              <w:rPr>
                <w:sz w:val="18"/>
                <w:szCs w:val="18"/>
              </w:rPr>
            </w:pPr>
            <w:r w:rsidRPr="00B76D81">
              <w:rPr>
                <w:sz w:val="18"/>
                <w:szCs w:val="18"/>
              </w:rPr>
              <w:t>9.794.850,00</w:t>
            </w:r>
          </w:p>
        </w:tc>
      </w:tr>
      <w:tr w:rsidR="00CF3957" w:rsidRPr="00B76D81" w14:paraId="5D15B58B"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2238457" w14:textId="77777777" w:rsidR="00CF3957" w:rsidRPr="00B76D81" w:rsidRDefault="00CF3957" w:rsidP="001E71E3">
            <w:pPr>
              <w:jc w:val="center"/>
              <w:rPr>
                <w:sz w:val="18"/>
                <w:szCs w:val="18"/>
              </w:rPr>
            </w:pPr>
            <w:r w:rsidRPr="00B76D81">
              <w:rPr>
                <w:sz w:val="18"/>
                <w:szCs w:val="18"/>
              </w:rPr>
              <w:t>2.</w:t>
            </w:r>
          </w:p>
        </w:tc>
        <w:tc>
          <w:tcPr>
            <w:tcW w:w="4009" w:type="dxa"/>
            <w:tcBorders>
              <w:top w:val="nil"/>
              <w:left w:val="nil"/>
              <w:bottom w:val="single" w:sz="4" w:space="0" w:color="auto"/>
              <w:right w:val="single" w:sz="4" w:space="0" w:color="auto"/>
            </w:tcBorders>
            <w:shd w:val="clear" w:color="auto" w:fill="auto"/>
            <w:vAlign w:val="center"/>
            <w:hideMark/>
          </w:tcPr>
          <w:p w14:paraId="3798F20B" w14:textId="77777777" w:rsidR="00CF3957" w:rsidRPr="00B76D81" w:rsidRDefault="00CF3957" w:rsidP="001E71E3">
            <w:pPr>
              <w:rPr>
                <w:sz w:val="18"/>
                <w:szCs w:val="18"/>
              </w:rPr>
            </w:pPr>
            <w:r w:rsidRPr="00B76D81">
              <w:rPr>
                <w:sz w:val="18"/>
                <w:szCs w:val="18"/>
              </w:rPr>
              <w:t>F/P 01456-004-001 - Projekt obnove i izgradnje školskih objekata u RH</w:t>
            </w:r>
          </w:p>
        </w:tc>
        <w:tc>
          <w:tcPr>
            <w:tcW w:w="745" w:type="dxa"/>
            <w:tcBorders>
              <w:top w:val="nil"/>
              <w:left w:val="nil"/>
              <w:bottom w:val="single" w:sz="4" w:space="0" w:color="auto"/>
              <w:right w:val="single" w:sz="4" w:space="0" w:color="auto"/>
            </w:tcBorders>
            <w:shd w:val="clear" w:color="auto" w:fill="auto"/>
            <w:noWrap/>
            <w:vAlign w:val="center"/>
            <w:hideMark/>
          </w:tcPr>
          <w:p w14:paraId="018A742E"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3797B691"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5243B8CF" w14:textId="77777777" w:rsidR="00CF3957" w:rsidRPr="00B76D81" w:rsidRDefault="00CF3957" w:rsidP="001E71E3">
            <w:pPr>
              <w:jc w:val="right"/>
              <w:rPr>
                <w:sz w:val="18"/>
                <w:szCs w:val="18"/>
              </w:rPr>
            </w:pPr>
            <w:r w:rsidRPr="00B76D81">
              <w:rPr>
                <w:sz w:val="18"/>
                <w:szCs w:val="18"/>
              </w:rPr>
              <w:t>1.510.680,00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0B15C43B" w14:textId="77777777" w:rsidR="00CF3957" w:rsidRPr="00B76D81" w:rsidRDefault="00CF3957" w:rsidP="001E71E3">
            <w:pPr>
              <w:jc w:val="right"/>
              <w:rPr>
                <w:sz w:val="18"/>
                <w:szCs w:val="18"/>
              </w:rPr>
            </w:pPr>
            <w:r w:rsidRPr="00B76D81">
              <w:rPr>
                <w:sz w:val="18"/>
                <w:szCs w:val="18"/>
              </w:rPr>
              <w:t>11.382.218,46</w:t>
            </w:r>
          </w:p>
        </w:tc>
      </w:tr>
      <w:tr w:rsidR="00CF3957" w:rsidRPr="00B76D81" w14:paraId="517B4E21"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4E2727C" w14:textId="77777777" w:rsidR="00CF3957" w:rsidRPr="00B76D81" w:rsidRDefault="00CF3957" w:rsidP="001E71E3">
            <w:pPr>
              <w:jc w:val="center"/>
              <w:rPr>
                <w:sz w:val="18"/>
                <w:szCs w:val="18"/>
              </w:rPr>
            </w:pPr>
            <w:r w:rsidRPr="00B76D81">
              <w:rPr>
                <w:sz w:val="18"/>
                <w:szCs w:val="18"/>
              </w:rPr>
              <w:t>3.</w:t>
            </w:r>
          </w:p>
        </w:tc>
        <w:tc>
          <w:tcPr>
            <w:tcW w:w="4009" w:type="dxa"/>
            <w:tcBorders>
              <w:top w:val="nil"/>
              <w:left w:val="nil"/>
              <w:bottom w:val="single" w:sz="4" w:space="0" w:color="auto"/>
              <w:right w:val="single" w:sz="4" w:space="0" w:color="auto"/>
            </w:tcBorders>
            <w:shd w:val="clear" w:color="auto" w:fill="auto"/>
            <w:vAlign w:val="center"/>
            <w:hideMark/>
          </w:tcPr>
          <w:p w14:paraId="1E4EC27C" w14:textId="77777777" w:rsidR="00CF3957" w:rsidRPr="00B76D81" w:rsidRDefault="00CF3957" w:rsidP="001E71E3">
            <w:pPr>
              <w:rPr>
                <w:sz w:val="18"/>
                <w:szCs w:val="18"/>
              </w:rPr>
            </w:pPr>
            <w:r w:rsidRPr="00B76D81">
              <w:rPr>
                <w:sz w:val="18"/>
                <w:szCs w:val="18"/>
              </w:rPr>
              <w:t>F/P 01498-004-002 - Projekt izgradnje objekata komunalne i društvene infrastrukture na hrv. otocima</w:t>
            </w:r>
          </w:p>
        </w:tc>
        <w:tc>
          <w:tcPr>
            <w:tcW w:w="745" w:type="dxa"/>
            <w:tcBorders>
              <w:top w:val="nil"/>
              <w:left w:val="nil"/>
              <w:bottom w:val="single" w:sz="4" w:space="0" w:color="auto"/>
              <w:right w:val="single" w:sz="4" w:space="0" w:color="auto"/>
            </w:tcBorders>
            <w:shd w:val="clear" w:color="auto" w:fill="auto"/>
            <w:noWrap/>
            <w:vAlign w:val="center"/>
            <w:hideMark/>
          </w:tcPr>
          <w:p w14:paraId="4E87D4CE"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4BFBC0CC"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14202369" w14:textId="77777777" w:rsidR="00CF3957" w:rsidRPr="00B76D81" w:rsidRDefault="00CF3957" w:rsidP="001E71E3">
            <w:pPr>
              <w:jc w:val="right"/>
              <w:rPr>
                <w:sz w:val="18"/>
                <w:szCs w:val="18"/>
              </w:rPr>
            </w:pPr>
            <w:r w:rsidRPr="00B76D81">
              <w:rPr>
                <w:sz w:val="18"/>
                <w:szCs w:val="18"/>
              </w:rPr>
              <w:t>2.314.800,00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2FFB29B2" w14:textId="77777777" w:rsidR="00CF3957" w:rsidRPr="00B76D81" w:rsidRDefault="00CF3957" w:rsidP="001E71E3">
            <w:pPr>
              <w:jc w:val="right"/>
              <w:rPr>
                <w:sz w:val="18"/>
                <w:szCs w:val="18"/>
              </w:rPr>
            </w:pPr>
            <w:r w:rsidRPr="00B76D81">
              <w:rPr>
                <w:sz w:val="18"/>
                <w:szCs w:val="18"/>
              </w:rPr>
              <w:t>17.440.860,60</w:t>
            </w:r>
          </w:p>
        </w:tc>
      </w:tr>
      <w:tr w:rsidR="00CF3957" w:rsidRPr="00B76D81" w14:paraId="69CFE608"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271383C" w14:textId="77777777" w:rsidR="00CF3957" w:rsidRPr="00B76D81" w:rsidRDefault="00CF3957" w:rsidP="001E71E3">
            <w:pPr>
              <w:jc w:val="center"/>
              <w:rPr>
                <w:sz w:val="18"/>
                <w:szCs w:val="18"/>
              </w:rPr>
            </w:pPr>
            <w:r w:rsidRPr="00B76D81">
              <w:rPr>
                <w:sz w:val="18"/>
                <w:szCs w:val="18"/>
              </w:rPr>
              <w:t>4.</w:t>
            </w:r>
          </w:p>
        </w:tc>
        <w:tc>
          <w:tcPr>
            <w:tcW w:w="4009" w:type="dxa"/>
            <w:tcBorders>
              <w:top w:val="nil"/>
              <w:left w:val="nil"/>
              <w:bottom w:val="single" w:sz="4" w:space="0" w:color="auto"/>
              <w:right w:val="single" w:sz="4" w:space="0" w:color="auto"/>
            </w:tcBorders>
            <w:shd w:val="clear" w:color="auto" w:fill="auto"/>
            <w:vAlign w:val="center"/>
            <w:hideMark/>
          </w:tcPr>
          <w:p w14:paraId="4C870D05" w14:textId="77777777" w:rsidR="00CF3957" w:rsidRPr="00B76D81" w:rsidRDefault="00CF3957" w:rsidP="001E71E3">
            <w:pPr>
              <w:rPr>
                <w:sz w:val="18"/>
                <w:szCs w:val="18"/>
              </w:rPr>
            </w:pPr>
            <w:r w:rsidRPr="00B76D81">
              <w:rPr>
                <w:sz w:val="18"/>
                <w:szCs w:val="18"/>
              </w:rPr>
              <w:t>F/P 01498-005-002 - Projekt izgradnje objekata komunalne i društvene infrastrukture na hrv. otocima</w:t>
            </w:r>
          </w:p>
        </w:tc>
        <w:tc>
          <w:tcPr>
            <w:tcW w:w="745" w:type="dxa"/>
            <w:tcBorders>
              <w:top w:val="nil"/>
              <w:left w:val="nil"/>
              <w:bottom w:val="single" w:sz="4" w:space="0" w:color="auto"/>
              <w:right w:val="single" w:sz="4" w:space="0" w:color="auto"/>
            </w:tcBorders>
            <w:shd w:val="clear" w:color="auto" w:fill="auto"/>
            <w:noWrap/>
            <w:vAlign w:val="center"/>
            <w:hideMark/>
          </w:tcPr>
          <w:p w14:paraId="740B4DA2"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70AE485E"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691B3C8D" w14:textId="77777777" w:rsidR="00CF3957" w:rsidRPr="00B76D81" w:rsidRDefault="00CF3957" w:rsidP="001E71E3">
            <w:pPr>
              <w:jc w:val="right"/>
              <w:rPr>
                <w:sz w:val="18"/>
                <w:szCs w:val="18"/>
              </w:rPr>
            </w:pPr>
            <w:r w:rsidRPr="00B76D81">
              <w:rPr>
                <w:sz w:val="18"/>
                <w:szCs w:val="18"/>
              </w:rPr>
              <w:t>674.000,00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54EED78C" w14:textId="77777777" w:rsidR="00CF3957" w:rsidRPr="00B76D81" w:rsidRDefault="00CF3957" w:rsidP="001E71E3">
            <w:pPr>
              <w:jc w:val="right"/>
              <w:rPr>
                <w:sz w:val="18"/>
                <w:szCs w:val="18"/>
              </w:rPr>
            </w:pPr>
            <w:r w:rsidRPr="00B76D81">
              <w:rPr>
                <w:sz w:val="18"/>
                <w:szCs w:val="18"/>
              </w:rPr>
              <w:t>5.078.253,00</w:t>
            </w:r>
          </w:p>
        </w:tc>
      </w:tr>
      <w:tr w:rsidR="00CF3957" w:rsidRPr="00B76D81" w14:paraId="6493D0E1"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7B8A861" w14:textId="77777777" w:rsidR="00CF3957" w:rsidRPr="00B76D81" w:rsidRDefault="00CF3957" w:rsidP="001E71E3">
            <w:pPr>
              <w:jc w:val="center"/>
              <w:rPr>
                <w:sz w:val="18"/>
                <w:szCs w:val="18"/>
              </w:rPr>
            </w:pPr>
            <w:r w:rsidRPr="00B76D81">
              <w:rPr>
                <w:sz w:val="18"/>
                <w:szCs w:val="18"/>
              </w:rPr>
              <w:t>5.</w:t>
            </w:r>
          </w:p>
        </w:tc>
        <w:tc>
          <w:tcPr>
            <w:tcW w:w="4009" w:type="dxa"/>
            <w:tcBorders>
              <w:top w:val="nil"/>
              <w:left w:val="nil"/>
              <w:bottom w:val="single" w:sz="4" w:space="0" w:color="auto"/>
              <w:right w:val="single" w:sz="4" w:space="0" w:color="auto"/>
            </w:tcBorders>
            <w:shd w:val="clear" w:color="auto" w:fill="auto"/>
            <w:vAlign w:val="center"/>
            <w:hideMark/>
          </w:tcPr>
          <w:p w14:paraId="32208B86" w14:textId="77777777" w:rsidR="00CF3957" w:rsidRPr="00B76D81" w:rsidRDefault="00CF3957" w:rsidP="001E71E3">
            <w:pPr>
              <w:rPr>
                <w:sz w:val="18"/>
                <w:szCs w:val="18"/>
              </w:rPr>
            </w:pPr>
            <w:r w:rsidRPr="00B76D81">
              <w:rPr>
                <w:sz w:val="18"/>
                <w:szCs w:val="18"/>
              </w:rPr>
              <w:t>F/P 01498-006-002 - Projekt izgradnje objekata komunalne i društvene infrastrukture na hrv. otocima</w:t>
            </w:r>
          </w:p>
        </w:tc>
        <w:tc>
          <w:tcPr>
            <w:tcW w:w="745" w:type="dxa"/>
            <w:tcBorders>
              <w:top w:val="nil"/>
              <w:left w:val="nil"/>
              <w:bottom w:val="single" w:sz="4" w:space="0" w:color="auto"/>
              <w:right w:val="single" w:sz="4" w:space="0" w:color="auto"/>
            </w:tcBorders>
            <w:shd w:val="clear" w:color="auto" w:fill="auto"/>
            <w:noWrap/>
            <w:vAlign w:val="center"/>
            <w:hideMark/>
          </w:tcPr>
          <w:p w14:paraId="259557F1"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6D5B7E3B" w14:textId="77777777" w:rsidR="00CF3957" w:rsidRPr="00B76D81" w:rsidRDefault="00CF3957" w:rsidP="001E71E3">
            <w:pPr>
              <w:jc w:val="center"/>
              <w:rPr>
                <w:sz w:val="18"/>
                <w:szCs w:val="18"/>
              </w:rPr>
            </w:pPr>
            <w:r w:rsidRPr="00B76D81">
              <w:rPr>
                <w:sz w:val="18"/>
                <w:szCs w:val="18"/>
              </w:rPr>
              <w:t>EUR</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69AC9" w14:textId="77777777" w:rsidR="00CF3957" w:rsidRPr="00B76D81" w:rsidRDefault="00CF3957" w:rsidP="001E71E3">
            <w:pPr>
              <w:jc w:val="right"/>
              <w:rPr>
                <w:sz w:val="18"/>
                <w:szCs w:val="18"/>
              </w:rPr>
            </w:pPr>
            <w:r w:rsidRPr="00B76D81">
              <w:rPr>
                <w:sz w:val="18"/>
                <w:szCs w:val="18"/>
              </w:rPr>
              <w:t>691.436,40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1A6D0CE1" w14:textId="77777777" w:rsidR="00CF3957" w:rsidRPr="00B76D81" w:rsidRDefault="00CF3957" w:rsidP="001E71E3">
            <w:pPr>
              <w:jc w:val="right"/>
              <w:rPr>
                <w:sz w:val="18"/>
                <w:szCs w:val="18"/>
              </w:rPr>
            </w:pPr>
            <w:r w:rsidRPr="00B76D81">
              <w:rPr>
                <w:sz w:val="18"/>
                <w:szCs w:val="18"/>
              </w:rPr>
              <w:t>5.209.627,56</w:t>
            </w:r>
          </w:p>
        </w:tc>
      </w:tr>
      <w:tr w:rsidR="00CF3957" w:rsidRPr="00B76D81" w14:paraId="71EFA0FF"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5C129F9" w14:textId="77777777" w:rsidR="00CF3957" w:rsidRPr="00B76D81" w:rsidRDefault="00CF3957" w:rsidP="001E71E3">
            <w:pPr>
              <w:jc w:val="center"/>
              <w:rPr>
                <w:sz w:val="18"/>
                <w:szCs w:val="18"/>
              </w:rPr>
            </w:pPr>
            <w:r w:rsidRPr="00B76D81">
              <w:rPr>
                <w:sz w:val="18"/>
                <w:szCs w:val="18"/>
              </w:rPr>
              <w:t>6.</w:t>
            </w:r>
          </w:p>
        </w:tc>
        <w:tc>
          <w:tcPr>
            <w:tcW w:w="4009" w:type="dxa"/>
            <w:tcBorders>
              <w:top w:val="nil"/>
              <w:left w:val="nil"/>
              <w:bottom w:val="single" w:sz="4" w:space="0" w:color="auto"/>
              <w:right w:val="single" w:sz="4" w:space="0" w:color="auto"/>
            </w:tcBorders>
            <w:shd w:val="clear" w:color="auto" w:fill="auto"/>
            <w:vAlign w:val="center"/>
            <w:hideMark/>
          </w:tcPr>
          <w:p w14:paraId="2E73EDF4" w14:textId="77777777" w:rsidR="00CF3957" w:rsidRPr="00B76D81" w:rsidRDefault="00CF3957" w:rsidP="001E71E3">
            <w:pPr>
              <w:rPr>
                <w:sz w:val="18"/>
                <w:szCs w:val="18"/>
              </w:rPr>
            </w:pPr>
            <w:r w:rsidRPr="00B76D81">
              <w:rPr>
                <w:sz w:val="18"/>
                <w:szCs w:val="18"/>
              </w:rPr>
              <w:t>F/P 01498-007-002 - Projekt izgradnje objekata komunalne i društvene infrastrukture na hrv. otocima</w:t>
            </w:r>
          </w:p>
        </w:tc>
        <w:tc>
          <w:tcPr>
            <w:tcW w:w="745" w:type="dxa"/>
            <w:tcBorders>
              <w:top w:val="nil"/>
              <w:left w:val="nil"/>
              <w:bottom w:val="single" w:sz="4" w:space="0" w:color="auto"/>
              <w:right w:val="single" w:sz="4" w:space="0" w:color="auto"/>
            </w:tcBorders>
            <w:shd w:val="clear" w:color="auto" w:fill="auto"/>
            <w:noWrap/>
            <w:vAlign w:val="center"/>
            <w:hideMark/>
          </w:tcPr>
          <w:p w14:paraId="307C81D5"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338D9A34"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5A617DDA" w14:textId="77777777" w:rsidR="00CF3957" w:rsidRPr="00B76D81" w:rsidRDefault="00CF3957" w:rsidP="001E71E3">
            <w:pPr>
              <w:jc w:val="right"/>
              <w:rPr>
                <w:sz w:val="18"/>
                <w:szCs w:val="18"/>
              </w:rPr>
            </w:pPr>
            <w:r w:rsidRPr="00B76D81">
              <w:rPr>
                <w:sz w:val="18"/>
                <w:szCs w:val="18"/>
              </w:rPr>
              <w:t>1.336.991,40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6926008A" w14:textId="77777777" w:rsidR="00CF3957" w:rsidRPr="00B76D81" w:rsidRDefault="00CF3957" w:rsidP="001E71E3">
            <w:pPr>
              <w:jc w:val="right"/>
              <w:rPr>
                <w:sz w:val="18"/>
                <w:szCs w:val="18"/>
              </w:rPr>
            </w:pPr>
            <w:r w:rsidRPr="00B76D81">
              <w:rPr>
                <w:sz w:val="18"/>
                <w:szCs w:val="18"/>
              </w:rPr>
              <w:t>10.073.561,70</w:t>
            </w:r>
          </w:p>
        </w:tc>
      </w:tr>
      <w:tr w:rsidR="00CF3957" w:rsidRPr="00B76D81" w14:paraId="697FC825"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10041F0" w14:textId="77777777" w:rsidR="00CF3957" w:rsidRPr="00B76D81" w:rsidRDefault="00CF3957" w:rsidP="001E71E3">
            <w:pPr>
              <w:jc w:val="center"/>
              <w:rPr>
                <w:sz w:val="18"/>
                <w:szCs w:val="18"/>
              </w:rPr>
            </w:pPr>
            <w:r w:rsidRPr="00B76D81">
              <w:rPr>
                <w:sz w:val="18"/>
                <w:szCs w:val="18"/>
              </w:rPr>
              <w:t>7.</w:t>
            </w:r>
          </w:p>
        </w:tc>
        <w:tc>
          <w:tcPr>
            <w:tcW w:w="4009" w:type="dxa"/>
            <w:tcBorders>
              <w:top w:val="nil"/>
              <w:left w:val="nil"/>
              <w:bottom w:val="single" w:sz="4" w:space="0" w:color="auto"/>
              <w:right w:val="single" w:sz="4" w:space="0" w:color="auto"/>
            </w:tcBorders>
            <w:shd w:val="clear" w:color="auto" w:fill="auto"/>
            <w:vAlign w:val="center"/>
            <w:hideMark/>
          </w:tcPr>
          <w:p w14:paraId="51EE4BDC" w14:textId="77777777" w:rsidR="00CF3957" w:rsidRPr="00B76D81" w:rsidRDefault="00CF3957" w:rsidP="001E71E3">
            <w:pPr>
              <w:rPr>
                <w:sz w:val="18"/>
                <w:szCs w:val="18"/>
              </w:rPr>
            </w:pPr>
            <w:r w:rsidRPr="00B76D81">
              <w:rPr>
                <w:sz w:val="18"/>
                <w:szCs w:val="18"/>
              </w:rPr>
              <w:t>F/P 01511-002-002 - Projekt "Istraživanje, obnova i revitalizacija kulturne baštine Ilok - Vukovar - Vučedol"</w:t>
            </w:r>
          </w:p>
        </w:tc>
        <w:tc>
          <w:tcPr>
            <w:tcW w:w="745" w:type="dxa"/>
            <w:tcBorders>
              <w:top w:val="nil"/>
              <w:left w:val="nil"/>
              <w:bottom w:val="single" w:sz="4" w:space="0" w:color="auto"/>
              <w:right w:val="single" w:sz="4" w:space="0" w:color="auto"/>
            </w:tcBorders>
            <w:shd w:val="clear" w:color="auto" w:fill="auto"/>
            <w:noWrap/>
            <w:vAlign w:val="center"/>
            <w:hideMark/>
          </w:tcPr>
          <w:p w14:paraId="3DE10F30"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7E107D39"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59A0FD46" w14:textId="77777777" w:rsidR="00CF3957" w:rsidRPr="00B76D81" w:rsidRDefault="00CF3957" w:rsidP="001E71E3">
            <w:pPr>
              <w:jc w:val="right"/>
              <w:rPr>
                <w:sz w:val="18"/>
                <w:szCs w:val="18"/>
              </w:rPr>
            </w:pPr>
            <w:r w:rsidRPr="00B76D81">
              <w:rPr>
                <w:sz w:val="18"/>
                <w:szCs w:val="18"/>
              </w:rPr>
              <w:t>698.000,00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10215327" w14:textId="77777777" w:rsidR="00CF3957" w:rsidRPr="00B76D81" w:rsidRDefault="00CF3957" w:rsidP="001E71E3">
            <w:pPr>
              <w:jc w:val="right"/>
              <w:rPr>
                <w:sz w:val="18"/>
                <w:szCs w:val="18"/>
              </w:rPr>
            </w:pPr>
            <w:r w:rsidRPr="00B76D81">
              <w:rPr>
                <w:sz w:val="18"/>
                <w:szCs w:val="18"/>
              </w:rPr>
              <w:t>5.259.081,00</w:t>
            </w:r>
          </w:p>
        </w:tc>
      </w:tr>
      <w:tr w:rsidR="00CF3957" w:rsidRPr="00B76D81" w14:paraId="4F9D9CDF"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62E307F" w14:textId="77777777" w:rsidR="00CF3957" w:rsidRPr="00B76D81" w:rsidRDefault="00CF3957" w:rsidP="001E71E3">
            <w:pPr>
              <w:jc w:val="center"/>
              <w:rPr>
                <w:sz w:val="18"/>
                <w:szCs w:val="18"/>
              </w:rPr>
            </w:pPr>
            <w:r w:rsidRPr="00B76D81">
              <w:rPr>
                <w:sz w:val="18"/>
                <w:szCs w:val="18"/>
              </w:rPr>
              <w:t>8.</w:t>
            </w:r>
          </w:p>
        </w:tc>
        <w:tc>
          <w:tcPr>
            <w:tcW w:w="4009" w:type="dxa"/>
            <w:tcBorders>
              <w:top w:val="nil"/>
              <w:left w:val="nil"/>
              <w:bottom w:val="single" w:sz="4" w:space="0" w:color="auto"/>
              <w:right w:val="single" w:sz="4" w:space="0" w:color="auto"/>
            </w:tcBorders>
            <w:shd w:val="clear" w:color="auto" w:fill="auto"/>
            <w:vAlign w:val="center"/>
            <w:hideMark/>
          </w:tcPr>
          <w:p w14:paraId="1507580C" w14:textId="77777777" w:rsidR="00CF3957" w:rsidRPr="00B76D81" w:rsidRDefault="00CF3957" w:rsidP="001E71E3">
            <w:pPr>
              <w:rPr>
                <w:sz w:val="18"/>
                <w:szCs w:val="18"/>
              </w:rPr>
            </w:pPr>
            <w:r w:rsidRPr="00B76D81">
              <w:rPr>
                <w:sz w:val="18"/>
                <w:szCs w:val="18"/>
              </w:rPr>
              <w:t>F/P 01511-003-002 - Projekt "Istraživanje, obnova i revitalizacija kulturne baštine Ilok - Vukovar - Vučedol"</w:t>
            </w:r>
          </w:p>
        </w:tc>
        <w:tc>
          <w:tcPr>
            <w:tcW w:w="745" w:type="dxa"/>
            <w:tcBorders>
              <w:top w:val="nil"/>
              <w:left w:val="nil"/>
              <w:bottom w:val="single" w:sz="4" w:space="0" w:color="auto"/>
              <w:right w:val="single" w:sz="4" w:space="0" w:color="auto"/>
            </w:tcBorders>
            <w:shd w:val="clear" w:color="auto" w:fill="auto"/>
            <w:noWrap/>
            <w:vAlign w:val="center"/>
            <w:hideMark/>
          </w:tcPr>
          <w:p w14:paraId="55C98B04"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2FE6FD4F"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4B9085E8" w14:textId="77777777" w:rsidR="00CF3957" w:rsidRPr="00B76D81" w:rsidRDefault="00CF3957" w:rsidP="001E71E3">
            <w:pPr>
              <w:jc w:val="right"/>
              <w:rPr>
                <w:sz w:val="18"/>
                <w:szCs w:val="18"/>
              </w:rPr>
            </w:pPr>
            <w:r w:rsidRPr="00B76D81">
              <w:rPr>
                <w:sz w:val="18"/>
                <w:szCs w:val="18"/>
              </w:rPr>
              <w:t>1.086.000,00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026DF6B1" w14:textId="77777777" w:rsidR="00CF3957" w:rsidRPr="00B76D81" w:rsidRDefault="00CF3957" w:rsidP="001E71E3">
            <w:pPr>
              <w:jc w:val="right"/>
              <w:rPr>
                <w:sz w:val="18"/>
                <w:szCs w:val="18"/>
              </w:rPr>
            </w:pPr>
            <w:r w:rsidRPr="00B76D81">
              <w:rPr>
                <w:sz w:val="18"/>
                <w:szCs w:val="18"/>
              </w:rPr>
              <w:t>8.182.467,00</w:t>
            </w:r>
          </w:p>
        </w:tc>
      </w:tr>
      <w:tr w:rsidR="00CF3957" w:rsidRPr="00B76D81" w14:paraId="090034C8"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C97F62C" w14:textId="77777777" w:rsidR="00CF3957" w:rsidRPr="00B76D81" w:rsidRDefault="00CF3957" w:rsidP="001E71E3">
            <w:pPr>
              <w:jc w:val="center"/>
              <w:rPr>
                <w:sz w:val="18"/>
                <w:szCs w:val="18"/>
              </w:rPr>
            </w:pPr>
            <w:r w:rsidRPr="00B76D81">
              <w:rPr>
                <w:sz w:val="18"/>
                <w:szCs w:val="18"/>
              </w:rPr>
              <w:t>9.</w:t>
            </w:r>
          </w:p>
        </w:tc>
        <w:tc>
          <w:tcPr>
            <w:tcW w:w="4009" w:type="dxa"/>
            <w:tcBorders>
              <w:top w:val="nil"/>
              <w:left w:val="nil"/>
              <w:bottom w:val="single" w:sz="4" w:space="0" w:color="auto"/>
              <w:right w:val="single" w:sz="4" w:space="0" w:color="auto"/>
            </w:tcBorders>
            <w:shd w:val="clear" w:color="auto" w:fill="auto"/>
            <w:vAlign w:val="center"/>
            <w:hideMark/>
          </w:tcPr>
          <w:p w14:paraId="1CCBDAB1" w14:textId="77777777" w:rsidR="00CF3957" w:rsidRPr="00B76D81" w:rsidRDefault="00CF3957" w:rsidP="001E71E3">
            <w:pPr>
              <w:rPr>
                <w:sz w:val="18"/>
                <w:szCs w:val="18"/>
              </w:rPr>
            </w:pPr>
            <w:r w:rsidRPr="00B76D81">
              <w:rPr>
                <w:sz w:val="18"/>
                <w:szCs w:val="18"/>
              </w:rPr>
              <w:t>F/P 01511-004-002 - Projekt "Istraživanje, obnova i revitalizacija kulturne baštine Ilok - Vukovar - Vučedol"</w:t>
            </w:r>
          </w:p>
        </w:tc>
        <w:tc>
          <w:tcPr>
            <w:tcW w:w="745" w:type="dxa"/>
            <w:tcBorders>
              <w:top w:val="nil"/>
              <w:left w:val="nil"/>
              <w:bottom w:val="single" w:sz="4" w:space="0" w:color="auto"/>
              <w:right w:val="single" w:sz="4" w:space="0" w:color="auto"/>
            </w:tcBorders>
            <w:shd w:val="clear" w:color="auto" w:fill="auto"/>
            <w:noWrap/>
            <w:vAlign w:val="center"/>
            <w:hideMark/>
          </w:tcPr>
          <w:p w14:paraId="53917092"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0D987AB1"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2DA79020" w14:textId="77777777" w:rsidR="00CF3957" w:rsidRPr="00B76D81" w:rsidRDefault="00CF3957" w:rsidP="001E71E3">
            <w:pPr>
              <w:jc w:val="right"/>
              <w:rPr>
                <w:sz w:val="18"/>
                <w:szCs w:val="18"/>
              </w:rPr>
            </w:pPr>
            <w:r w:rsidRPr="00B76D81">
              <w:rPr>
                <w:sz w:val="18"/>
                <w:szCs w:val="18"/>
              </w:rPr>
              <w:t>3.800.000,00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1050DB78" w14:textId="77777777" w:rsidR="00CF3957" w:rsidRPr="00B76D81" w:rsidRDefault="00CF3957" w:rsidP="001E71E3">
            <w:pPr>
              <w:jc w:val="right"/>
              <w:rPr>
                <w:sz w:val="18"/>
                <w:szCs w:val="18"/>
              </w:rPr>
            </w:pPr>
            <w:r w:rsidRPr="00B76D81">
              <w:rPr>
                <w:sz w:val="18"/>
                <w:szCs w:val="18"/>
              </w:rPr>
              <w:t>28.631.100,00</w:t>
            </w:r>
          </w:p>
        </w:tc>
      </w:tr>
      <w:tr w:rsidR="00CF3957" w:rsidRPr="00B76D81" w14:paraId="3985106B"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7F59A3F" w14:textId="77777777" w:rsidR="00CF3957" w:rsidRPr="00B76D81" w:rsidRDefault="00CF3957" w:rsidP="001E71E3">
            <w:pPr>
              <w:jc w:val="center"/>
              <w:rPr>
                <w:sz w:val="18"/>
                <w:szCs w:val="18"/>
              </w:rPr>
            </w:pPr>
            <w:r w:rsidRPr="00B76D81">
              <w:rPr>
                <w:sz w:val="18"/>
                <w:szCs w:val="18"/>
              </w:rPr>
              <w:t>10.</w:t>
            </w:r>
          </w:p>
        </w:tc>
        <w:tc>
          <w:tcPr>
            <w:tcW w:w="4009" w:type="dxa"/>
            <w:tcBorders>
              <w:top w:val="nil"/>
              <w:left w:val="nil"/>
              <w:bottom w:val="single" w:sz="4" w:space="0" w:color="auto"/>
              <w:right w:val="single" w:sz="4" w:space="0" w:color="auto"/>
            </w:tcBorders>
            <w:shd w:val="clear" w:color="auto" w:fill="auto"/>
            <w:vAlign w:val="center"/>
            <w:hideMark/>
          </w:tcPr>
          <w:p w14:paraId="542B4890" w14:textId="77777777" w:rsidR="00CF3957" w:rsidRPr="00B76D81" w:rsidRDefault="00CF3957" w:rsidP="001E71E3">
            <w:pPr>
              <w:rPr>
                <w:sz w:val="18"/>
                <w:szCs w:val="18"/>
              </w:rPr>
            </w:pPr>
            <w:r w:rsidRPr="00B76D81">
              <w:rPr>
                <w:sz w:val="18"/>
                <w:szCs w:val="18"/>
              </w:rPr>
              <w:t>F/P 01511-005-002 - Projekt "Istraživanje, obnova i revitalizacija kulturne baštine Ilok - Vukovar - Vučedol"</w:t>
            </w:r>
          </w:p>
        </w:tc>
        <w:tc>
          <w:tcPr>
            <w:tcW w:w="745" w:type="dxa"/>
            <w:tcBorders>
              <w:top w:val="nil"/>
              <w:left w:val="nil"/>
              <w:bottom w:val="single" w:sz="4" w:space="0" w:color="auto"/>
              <w:right w:val="single" w:sz="4" w:space="0" w:color="auto"/>
            </w:tcBorders>
            <w:shd w:val="clear" w:color="auto" w:fill="auto"/>
            <w:noWrap/>
            <w:vAlign w:val="center"/>
            <w:hideMark/>
          </w:tcPr>
          <w:p w14:paraId="1B8BA8D0"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57D7E7A3"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10DE3B46" w14:textId="77777777" w:rsidR="00CF3957" w:rsidRPr="00B76D81" w:rsidRDefault="00CF3957" w:rsidP="001E71E3">
            <w:pPr>
              <w:jc w:val="right"/>
              <w:rPr>
                <w:sz w:val="18"/>
                <w:szCs w:val="18"/>
              </w:rPr>
            </w:pPr>
            <w:r w:rsidRPr="00B76D81">
              <w:rPr>
                <w:sz w:val="18"/>
                <w:szCs w:val="18"/>
              </w:rPr>
              <w:t>1.401.600,60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3894A4DA" w14:textId="77777777" w:rsidR="00CF3957" w:rsidRPr="00B76D81" w:rsidRDefault="00CF3957" w:rsidP="001E71E3">
            <w:pPr>
              <w:jc w:val="right"/>
              <w:rPr>
                <w:sz w:val="18"/>
                <w:szCs w:val="18"/>
              </w:rPr>
            </w:pPr>
            <w:r w:rsidRPr="00B76D81">
              <w:rPr>
                <w:sz w:val="18"/>
                <w:szCs w:val="18"/>
              </w:rPr>
              <w:t>10.560.359,72</w:t>
            </w:r>
          </w:p>
        </w:tc>
      </w:tr>
      <w:tr w:rsidR="00CF3957" w:rsidRPr="00B76D81" w14:paraId="620A53FC"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0D3AED0" w14:textId="77777777" w:rsidR="00CF3957" w:rsidRPr="00B76D81" w:rsidRDefault="00CF3957" w:rsidP="001E71E3">
            <w:pPr>
              <w:jc w:val="center"/>
              <w:rPr>
                <w:sz w:val="18"/>
                <w:szCs w:val="18"/>
              </w:rPr>
            </w:pPr>
            <w:r w:rsidRPr="00B76D81">
              <w:rPr>
                <w:sz w:val="18"/>
                <w:szCs w:val="18"/>
              </w:rPr>
              <w:t>11.</w:t>
            </w:r>
          </w:p>
        </w:tc>
        <w:tc>
          <w:tcPr>
            <w:tcW w:w="4009" w:type="dxa"/>
            <w:tcBorders>
              <w:top w:val="nil"/>
              <w:left w:val="nil"/>
              <w:bottom w:val="single" w:sz="4" w:space="0" w:color="auto"/>
              <w:right w:val="single" w:sz="4" w:space="0" w:color="auto"/>
            </w:tcBorders>
            <w:shd w:val="clear" w:color="auto" w:fill="auto"/>
            <w:vAlign w:val="center"/>
            <w:hideMark/>
          </w:tcPr>
          <w:p w14:paraId="13E64884" w14:textId="77777777" w:rsidR="00CF3957" w:rsidRPr="00B76D81" w:rsidRDefault="00CF3957" w:rsidP="001E71E3">
            <w:pPr>
              <w:rPr>
                <w:sz w:val="18"/>
                <w:szCs w:val="18"/>
              </w:rPr>
            </w:pPr>
            <w:r w:rsidRPr="00B76D81">
              <w:rPr>
                <w:sz w:val="18"/>
                <w:szCs w:val="18"/>
              </w:rPr>
              <w:t>F/P 01576-002-002 - Projekt financiranja zdravstvenih ustanova u RH</w:t>
            </w:r>
          </w:p>
        </w:tc>
        <w:tc>
          <w:tcPr>
            <w:tcW w:w="745" w:type="dxa"/>
            <w:tcBorders>
              <w:top w:val="nil"/>
              <w:left w:val="nil"/>
              <w:bottom w:val="single" w:sz="4" w:space="0" w:color="auto"/>
              <w:right w:val="single" w:sz="4" w:space="0" w:color="auto"/>
            </w:tcBorders>
            <w:shd w:val="clear" w:color="auto" w:fill="auto"/>
            <w:noWrap/>
            <w:vAlign w:val="center"/>
            <w:hideMark/>
          </w:tcPr>
          <w:p w14:paraId="0478B976"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266F9E9D"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2324B019" w14:textId="77777777" w:rsidR="00CF3957" w:rsidRPr="00B76D81" w:rsidRDefault="00CF3957" w:rsidP="001E71E3">
            <w:pPr>
              <w:jc w:val="right"/>
              <w:rPr>
                <w:sz w:val="18"/>
                <w:szCs w:val="18"/>
              </w:rPr>
            </w:pPr>
            <w:r w:rsidRPr="00B76D81">
              <w:rPr>
                <w:sz w:val="18"/>
                <w:szCs w:val="18"/>
              </w:rPr>
              <w:t>3.760.000,00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5184785C" w14:textId="77777777" w:rsidR="00CF3957" w:rsidRPr="00B76D81" w:rsidRDefault="00CF3957" w:rsidP="001E71E3">
            <w:pPr>
              <w:jc w:val="right"/>
              <w:rPr>
                <w:sz w:val="18"/>
                <w:szCs w:val="18"/>
              </w:rPr>
            </w:pPr>
            <w:r w:rsidRPr="00B76D81">
              <w:rPr>
                <w:sz w:val="18"/>
                <w:szCs w:val="18"/>
              </w:rPr>
              <w:t>28.329.720,00</w:t>
            </w:r>
          </w:p>
        </w:tc>
      </w:tr>
      <w:tr w:rsidR="00CF3957" w:rsidRPr="00B76D81" w14:paraId="1A0C096B"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144E056" w14:textId="77777777" w:rsidR="00CF3957" w:rsidRPr="00B76D81" w:rsidRDefault="00CF3957" w:rsidP="001E71E3">
            <w:pPr>
              <w:jc w:val="center"/>
              <w:rPr>
                <w:sz w:val="18"/>
                <w:szCs w:val="18"/>
              </w:rPr>
            </w:pPr>
            <w:r w:rsidRPr="00B76D81">
              <w:rPr>
                <w:sz w:val="18"/>
                <w:szCs w:val="18"/>
              </w:rPr>
              <w:t>12.</w:t>
            </w:r>
          </w:p>
        </w:tc>
        <w:tc>
          <w:tcPr>
            <w:tcW w:w="4009" w:type="dxa"/>
            <w:tcBorders>
              <w:top w:val="nil"/>
              <w:left w:val="nil"/>
              <w:bottom w:val="single" w:sz="4" w:space="0" w:color="auto"/>
              <w:right w:val="single" w:sz="4" w:space="0" w:color="auto"/>
            </w:tcBorders>
            <w:shd w:val="clear" w:color="auto" w:fill="auto"/>
            <w:vAlign w:val="center"/>
            <w:hideMark/>
          </w:tcPr>
          <w:p w14:paraId="0A5F0B67" w14:textId="77777777" w:rsidR="00CF3957" w:rsidRPr="00B76D81" w:rsidRDefault="00CF3957" w:rsidP="001E71E3">
            <w:pPr>
              <w:rPr>
                <w:sz w:val="18"/>
                <w:szCs w:val="18"/>
              </w:rPr>
            </w:pPr>
            <w:r w:rsidRPr="00B76D81">
              <w:rPr>
                <w:sz w:val="18"/>
                <w:szCs w:val="18"/>
              </w:rPr>
              <w:t>F/P 01576-003-002 - Projekt financiranja zdravstvenih ustanova u RH</w:t>
            </w:r>
          </w:p>
        </w:tc>
        <w:tc>
          <w:tcPr>
            <w:tcW w:w="745" w:type="dxa"/>
            <w:tcBorders>
              <w:top w:val="nil"/>
              <w:left w:val="nil"/>
              <w:bottom w:val="single" w:sz="4" w:space="0" w:color="auto"/>
              <w:right w:val="single" w:sz="4" w:space="0" w:color="auto"/>
            </w:tcBorders>
            <w:shd w:val="clear" w:color="auto" w:fill="auto"/>
            <w:noWrap/>
            <w:vAlign w:val="center"/>
            <w:hideMark/>
          </w:tcPr>
          <w:p w14:paraId="7B451ED1"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25BC452B"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42B6453C" w14:textId="77777777" w:rsidR="00CF3957" w:rsidRPr="00B76D81" w:rsidRDefault="00CF3957" w:rsidP="001E71E3">
            <w:pPr>
              <w:jc w:val="right"/>
              <w:rPr>
                <w:sz w:val="18"/>
                <w:szCs w:val="18"/>
              </w:rPr>
            </w:pPr>
            <w:r w:rsidRPr="00B76D81">
              <w:rPr>
                <w:sz w:val="18"/>
                <w:szCs w:val="18"/>
              </w:rPr>
              <w:t>8.422.684,80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658AD4A1" w14:textId="77777777" w:rsidR="00CF3957" w:rsidRPr="00B76D81" w:rsidRDefault="00CF3957" w:rsidP="001E71E3">
            <w:pPr>
              <w:jc w:val="right"/>
              <w:rPr>
                <w:sz w:val="18"/>
                <w:szCs w:val="18"/>
              </w:rPr>
            </w:pPr>
            <w:r w:rsidRPr="00B76D81">
              <w:rPr>
                <w:sz w:val="18"/>
                <w:szCs w:val="18"/>
              </w:rPr>
              <w:t>63.460.718,63</w:t>
            </w:r>
          </w:p>
        </w:tc>
      </w:tr>
      <w:tr w:rsidR="00CF3957" w:rsidRPr="00B76D81" w14:paraId="3377EEEB"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AD21B0C" w14:textId="77777777" w:rsidR="00CF3957" w:rsidRPr="00B76D81" w:rsidRDefault="00CF3957" w:rsidP="001E71E3">
            <w:pPr>
              <w:jc w:val="center"/>
              <w:rPr>
                <w:sz w:val="18"/>
                <w:szCs w:val="18"/>
              </w:rPr>
            </w:pPr>
            <w:r w:rsidRPr="00B76D81">
              <w:rPr>
                <w:sz w:val="18"/>
                <w:szCs w:val="18"/>
              </w:rPr>
              <w:t>13.</w:t>
            </w:r>
          </w:p>
        </w:tc>
        <w:tc>
          <w:tcPr>
            <w:tcW w:w="4009" w:type="dxa"/>
            <w:tcBorders>
              <w:top w:val="nil"/>
              <w:left w:val="nil"/>
              <w:bottom w:val="single" w:sz="4" w:space="0" w:color="auto"/>
              <w:right w:val="single" w:sz="4" w:space="0" w:color="auto"/>
            </w:tcBorders>
            <w:shd w:val="clear" w:color="auto" w:fill="auto"/>
            <w:vAlign w:val="center"/>
            <w:hideMark/>
          </w:tcPr>
          <w:p w14:paraId="496478A5" w14:textId="77777777" w:rsidR="00CF3957" w:rsidRPr="00B76D81" w:rsidRDefault="00CF3957" w:rsidP="001E71E3">
            <w:pPr>
              <w:rPr>
                <w:sz w:val="18"/>
                <w:szCs w:val="18"/>
              </w:rPr>
            </w:pPr>
            <w:r w:rsidRPr="00B76D81">
              <w:rPr>
                <w:sz w:val="18"/>
                <w:szCs w:val="18"/>
              </w:rPr>
              <w:t>F/P 01751-001-001 - Projekt "Financiranje vodno-komunalne infrastrukture"</w:t>
            </w:r>
          </w:p>
        </w:tc>
        <w:tc>
          <w:tcPr>
            <w:tcW w:w="745" w:type="dxa"/>
            <w:tcBorders>
              <w:top w:val="nil"/>
              <w:left w:val="nil"/>
              <w:bottom w:val="single" w:sz="4" w:space="0" w:color="auto"/>
              <w:right w:val="single" w:sz="4" w:space="0" w:color="auto"/>
            </w:tcBorders>
            <w:shd w:val="clear" w:color="auto" w:fill="auto"/>
            <w:noWrap/>
            <w:vAlign w:val="center"/>
            <w:hideMark/>
          </w:tcPr>
          <w:p w14:paraId="2E753140"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60EF3FE3"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5572C6EC" w14:textId="77777777" w:rsidR="00CF3957" w:rsidRPr="00B76D81" w:rsidRDefault="00CF3957" w:rsidP="001E71E3">
            <w:pPr>
              <w:jc w:val="right"/>
              <w:rPr>
                <w:sz w:val="18"/>
                <w:szCs w:val="18"/>
              </w:rPr>
            </w:pPr>
            <w:r w:rsidRPr="00B76D81">
              <w:rPr>
                <w:sz w:val="18"/>
                <w:szCs w:val="18"/>
              </w:rPr>
              <w:t>7.700.000,00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2F46354F" w14:textId="77777777" w:rsidR="00CF3957" w:rsidRPr="00B76D81" w:rsidRDefault="00CF3957" w:rsidP="001E71E3">
            <w:pPr>
              <w:jc w:val="right"/>
              <w:rPr>
                <w:sz w:val="18"/>
                <w:szCs w:val="18"/>
              </w:rPr>
            </w:pPr>
            <w:r w:rsidRPr="00B76D81">
              <w:rPr>
                <w:sz w:val="18"/>
                <w:szCs w:val="18"/>
              </w:rPr>
              <w:t>58.015.650,00</w:t>
            </w:r>
          </w:p>
        </w:tc>
      </w:tr>
      <w:tr w:rsidR="00CF3957" w:rsidRPr="00B76D81" w14:paraId="322BEF6B"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B157155" w14:textId="77777777" w:rsidR="00CF3957" w:rsidRPr="00B76D81" w:rsidRDefault="00CF3957" w:rsidP="001E71E3">
            <w:pPr>
              <w:jc w:val="center"/>
              <w:rPr>
                <w:sz w:val="18"/>
                <w:szCs w:val="18"/>
              </w:rPr>
            </w:pPr>
            <w:r w:rsidRPr="00B76D81">
              <w:rPr>
                <w:sz w:val="18"/>
                <w:szCs w:val="18"/>
              </w:rPr>
              <w:lastRenderedPageBreak/>
              <w:t>14.</w:t>
            </w:r>
          </w:p>
        </w:tc>
        <w:tc>
          <w:tcPr>
            <w:tcW w:w="4009" w:type="dxa"/>
            <w:tcBorders>
              <w:top w:val="nil"/>
              <w:left w:val="nil"/>
              <w:bottom w:val="single" w:sz="4" w:space="0" w:color="auto"/>
              <w:right w:val="single" w:sz="4" w:space="0" w:color="auto"/>
            </w:tcBorders>
            <w:shd w:val="clear" w:color="auto" w:fill="auto"/>
            <w:vAlign w:val="center"/>
            <w:hideMark/>
          </w:tcPr>
          <w:p w14:paraId="20A99A0E" w14:textId="77777777" w:rsidR="00CF3957" w:rsidRPr="00B76D81" w:rsidRDefault="00CF3957" w:rsidP="001E71E3">
            <w:pPr>
              <w:rPr>
                <w:sz w:val="18"/>
                <w:szCs w:val="18"/>
              </w:rPr>
            </w:pPr>
            <w:r w:rsidRPr="00B76D81">
              <w:rPr>
                <w:sz w:val="18"/>
                <w:szCs w:val="18"/>
              </w:rPr>
              <w:t>F/P 01751-003-000 - Projekt "Financiranje vodno-komunalne infrastrukture"</w:t>
            </w:r>
          </w:p>
        </w:tc>
        <w:tc>
          <w:tcPr>
            <w:tcW w:w="745" w:type="dxa"/>
            <w:tcBorders>
              <w:top w:val="nil"/>
              <w:left w:val="nil"/>
              <w:bottom w:val="single" w:sz="4" w:space="0" w:color="auto"/>
              <w:right w:val="single" w:sz="4" w:space="0" w:color="auto"/>
            </w:tcBorders>
            <w:shd w:val="clear" w:color="auto" w:fill="auto"/>
            <w:noWrap/>
            <w:vAlign w:val="center"/>
            <w:hideMark/>
          </w:tcPr>
          <w:p w14:paraId="2587CC33"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65B19472"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6898C409" w14:textId="77777777" w:rsidR="00CF3957" w:rsidRPr="00B76D81" w:rsidRDefault="00CF3957" w:rsidP="001E71E3">
            <w:pPr>
              <w:jc w:val="right"/>
              <w:rPr>
                <w:sz w:val="18"/>
                <w:szCs w:val="18"/>
              </w:rPr>
            </w:pPr>
            <w:r w:rsidRPr="00B76D81">
              <w:rPr>
                <w:sz w:val="18"/>
                <w:szCs w:val="18"/>
              </w:rPr>
              <w:t>3.750.000,00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47A57951" w14:textId="77777777" w:rsidR="00CF3957" w:rsidRPr="00B76D81" w:rsidRDefault="00CF3957" w:rsidP="001E71E3">
            <w:pPr>
              <w:jc w:val="right"/>
              <w:rPr>
                <w:sz w:val="18"/>
                <w:szCs w:val="18"/>
              </w:rPr>
            </w:pPr>
            <w:r w:rsidRPr="00B76D81">
              <w:rPr>
                <w:sz w:val="18"/>
                <w:szCs w:val="18"/>
              </w:rPr>
              <w:t>28.254.375,00</w:t>
            </w:r>
          </w:p>
        </w:tc>
      </w:tr>
      <w:tr w:rsidR="00CF3957" w:rsidRPr="00B76D81" w14:paraId="68FA5DE7"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A8CB14A" w14:textId="77777777" w:rsidR="00CF3957" w:rsidRPr="00B76D81" w:rsidRDefault="00CF3957" w:rsidP="001E71E3">
            <w:pPr>
              <w:jc w:val="center"/>
              <w:rPr>
                <w:sz w:val="18"/>
                <w:szCs w:val="18"/>
              </w:rPr>
            </w:pPr>
            <w:r w:rsidRPr="00B76D81">
              <w:rPr>
                <w:sz w:val="18"/>
                <w:szCs w:val="18"/>
              </w:rPr>
              <w:t>15.</w:t>
            </w:r>
          </w:p>
        </w:tc>
        <w:tc>
          <w:tcPr>
            <w:tcW w:w="4009" w:type="dxa"/>
            <w:tcBorders>
              <w:top w:val="nil"/>
              <w:left w:val="nil"/>
              <w:bottom w:val="single" w:sz="4" w:space="0" w:color="auto"/>
              <w:right w:val="single" w:sz="4" w:space="0" w:color="auto"/>
            </w:tcBorders>
            <w:shd w:val="clear" w:color="auto" w:fill="auto"/>
            <w:vAlign w:val="center"/>
            <w:hideMark/>
          </w:tcPr>
          <w:p w14:paraId="627A406B" w14:textId="77777777" w:rsidR="00CF3957" w:rsidRPr="00B76D81" w:rsidRDefault="00CF3957" w:rsidP="001E71E3">
            <w:pPr>
              <w:rPr>
                <w:sz w:val="18"/>
                <w:szCs w:val="18"/>
              </w:rPr>
            </w:pPr>
            <w:r w:rsidRPr="00B76D81">
              <w:rPr>
                <w:sz w:val="18"/>
                <w:szCs w:val="18"/>
              </w:rPr>
              <w:t>F/P 01751-004-000 - Projekt "Financiranje vodno-komunalne infrastrukture"</w:t>
            </w:r>
          </w:p>
        </w:tc>
        <w:tc>
          <w:tcPr>
            <w:tcW w:w="745" w:type="dxa"/>
            <w:tcBorders>
              <w:top w:val="nil"/>
              <w:left w:val="nil"/>
              <w:bottom w:val="single" w:sz="4" w:space="0" w:color="auto"/>
              <w:right w:val="single" w:sz="4" w:space="0" w:color="auto"/>
            </w:tcBorders>
            <w:shd w:val="clear" w:color="auto" w:fill="auto"/>
            <w:noWrap/>
            <w:vAlign w:val="center"/>
            <w:hideMark/>
          </w:tcPr>
          <w:p w14:paraId="07062F3A"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134E7C32"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44FF3F83" w14:textId="77777777" w:rsidR="00CF3957" w:rsidRPr="00B76D81" w:rsidRDefault="00CF3957" w:rsidP="001E71E3">
            <w:pPr>
              <w:jc w:val="right"/>
              <w:rPr>
                <w:sz w:val="18"/>
                <w:szCs w:val="18"/>
              </w:rPr>
            </w:pPr>
            <w:r w:rsidRPr="00B76D81">
              <w:rPr>
                <w:sz w:val="18"/>
                <w:szCs w:val="18"/>
              </w:rPr>
              <w:t>4.500.000,00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0F346B05" w14:textId="77777777" w:rsidR="00CF3957" w:rsidRPr="00B76D81" w:rsidRDefault="00CF3957" w:rsidP="001E71E3">
            <w:pPr>
              <w:jc w:val="right"/>
              <w:rPr>
                <w:sz w:val="18"/>
                <w:szCs w:val="18"/>
              </w:rPr>
            </w:pPr>
            <w:r w:rsidRPr="00B76D81">
              <w:rPr>
                <w:sz w:val="18"/>
                <w:szCs w:val="18"/>
              </w:rPr>
              <w:t>33.905.250,00</w:t>
            </w:r>
          </w:p>
        </w:tc>
      </w:tr>
      <w:tr w:rsidR="00CF3957" w:rsidRPr="00B76D81" w14:paraId="50DBC5A3"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7F164DF" w14:textId="77777777" w:rsidR="00CF3957" w:rsidRPr="00B76D81" w:rsidRDefault="00CF3957" w:rsidP="001E71E3">
            <w:pPr>
              <w:jc w:val="center"/>
              <w:rPr>
                <w:sz w:val="18"/>
                <w:szCs w:val="18"/>
              </w:rPr>
            </w:pPr>
            <w:r w:rsidRPr="00B76D81">
              <w:rPr>
                <w:sz w:val="18"/>
                <w:szCs w:val="18"/>
              </w:rPr>
              <w:t>16.</w:t>
            </w:r>
          </w:p>
        </w:tc>
        <w:tc>
          <w:tcPr>
            <w:tcW w:w="4009" w:type="dxa"/>
            <w:tcBorders>
              <w:top w:val="nil"/>
              <w:left w:val="nil"/>
              <w:bottom w:val="single" w:sz="4" w:space="0" w:color="auto"/>
              <w:right w:val="single" w:sz="4" w:space="0" w:color="auto"/>
            </w:tcBorders>
            <w:shd w:val="clear" w:color="auto" w:fill="auto"/>
            <w:vAlign w:val="center"/>
            <w:hideMark/>
          </w:tcPr>
          <w:p w14:paraId="32B7A5D1" w14:textId="77777777" w:rsidR="00CF3957" w:rsidRPr="00B76D81" w:rsidRDefault="00CF3957" w:rsidP="001E71E3">
            <w:pPr>
              <w:rPr>
                <w:sz w:val="18"/>
                <w:szCs w:val="18"/>
              </w:rPr>
            </w:pPr>
            <w:r w:rsidRPr="00B76D81">
              <w:rPr>
                <w:sz w:val="18"/>
                <w:szCs w:val="18"/>
              </w:rPr>
              <w:t>LD 01845-001-000 - Projekt zaštite od poplava</w:t>
            </w:r>
          </w:p>
        </w:tc>
        <w:tc>
          <w:tcPr>
            <w:tcW w:w="745" w:type="dxa"/>
            <w:tcBorders>
              <w:top w:val="nil"/>
              <w:left w:val="nil"/>
              <w:bottom w:val="single" w:sz="4" w:space="0" w:color="auto"/>
              <w:right w:val="single" w:sz="4" w:space="0" w:color="auto"/>
            </w:tcBorders>
            <w:shd w:val="clear" w:color="auto" w:fill="auto"/>
            <w:noWrap/>
            <w:vAlign w:val="center"/>
            <w:hideMark/>
          </w:tcPr>
          <w:p w14:paraId="4A60FE7E"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06101120"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316DBAF0" w14:textId="77777777" w:rsidR="00CF3957" w:rsidRPr="00B76D81" w:rsidRDefault="00CF3957" w:rsidP="001E71E3">
            <w:pPr>
              <w:jc w:val="right"/>
              <w:rPr>
                <w:sz w:val="18"/>
                <w:szCs w:val="18"/>
              </w:rPr>
            </w:pPr>
            <w:r w:rsidRPr="00B76D81">
              <w:rPr>
                <w:sz w:val="18"/>
                <w:szCs w:val="18"/>
              </w:rPr>
              <w:t>2.238.750,00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59A95982" w14:textId="77777777" w:rsidR="00CF3957" w:rsidRPr="00B76D81" w:rsidRDefault="00CF3957" w:rsidP="001E71E3">
            <w:pPr>
              <w:jc w:val="right"/>
              <w:rPr>
                <w:sz w:val="18"/>
                <w:szCs w:val="18"/>
              </w:rPr>
            </w:pPr>
            <w:r w:rsidRPr="00B76D81">
              <w:rPr>
                <w:sz w:val="18"/>
                <w:szCs w:val="18"/>
              </w:rPr>
              <w:t>16.867.861,88</w:t>
            </w:r>
          </w:p>
        </w:tc>
      </w:tr>
      <w:tr w:rsidR="00CF3957" w:rsidRPr="00B76D81" w14:paraId="6D7EB33E"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A39F042" w14:textId="77777777" w:rsidR="00CF3957" w:rsidRPr="00B76D81" w:rsidRDefault="00CF3957" w:rsidP="001E71E3">
            <w:pPr>
              <w:jc w:val="center"/>
              <w:rPr>
                <w:sz w:val="18"/>
                <w:szCs w:val="18"/>
              </w:rPr>
            </w:pPr>
            <w:r w:rsidRPr="00B76D81">
              <w:rPr>
                <w:sz w:val="18"/>
                <w:szCs w:val="18"/>
              </w:rPr>
              <w:t>17.</w:t>
            </w:r>
          </w:p>
        </w:tc>
        <w:tc>
          <w:tcPr>
            <w:tcW w:w="4009" w:type="dxa"/>
            <w:tcBorders>
              <w:top w:val="nil"/>
              <w:left w:val="nil"/>
              <w:bottom w:val="single" w:sz="4" w:space="0" w:color="auto"/>
              <w:right w:val="single" w:sz="4" w:space="0" w:color="auto"/>
            </w:tcBorders>
            <w:shd w:val="clear" w:color="auto" w:fill="auto"/>
            <w:vAlign w:val="center"/>
            <w:hideMark/>
          </w:tcPr>
          <w:p w14:paraId="3BC2D8FC" w14:textId="77777777" w:rsidR="00CF3957" w:rsidRPr="00B76D81" w:rsidRDefault="00CF3957" w:rsidP="001E71E3">
            <w:pPr>
              <w:rPr>
                <w:sz w:val="18"/>
                <w:szCs w:val="18"/>
              </w:rPr>
            </w:pPr>
            <w:r w:rsidRPr="00B76D81">
              <w:rPr>
                <w:sz w:val="18"/>
                <w:szCs w:val="18"/>
              </w:rPr>
              <w:t>LD 01845-002-000 - Projekt zaštite od poplava</w:t>
            </w:r>
          </w:p>
        </w:tc>
        <w:tc>
          <w:tcPr>
            <w:tcW w:w="745" w:type="dxa"/>
            <w:tcBorders>
              <w:top w:val="nil"/>
              <w:left w:val="nil"/>
              <w:bottom w:val="single" w:sz="4" w:space="0" w:color="auto"/>
              <w:right w:val="single" w:sz="4" w:space="0" w:color="auto"/>
            </w:tcBorders>
            <w:shd w:val="clear" w:color="auto" w:fill="auto"/>
            <w:noWrap/>
            <w:vAlign w:val="center"/>
            <w:hideMark/>
          </w:tcPr>
          <w:p w14:paraId="3D0B208D"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6EEC955D"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052B1051" w14:textId="77777777" w:rsidR="00CF3957" w:rsidRPr="00B76D81" w:rsidRDefault="00CF3957" w:rsidP="001E71E3">
            <w:pPr>
              <w:jc w:val="right"/>
              <w:rPr>
                <w:sz w:val="18"/>
                <w:szCs w:val="18"/>
              </w:rPr>
            </w:pPr>
            <w:r w:rsidRPr="00B76D81">
              <w:rPr>
                <w:sz w:val="18"/>
                <w:szCs w:val="18"/>
              </w:rPr>
              <w:t>5.662.677,77</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601DACE5" w14:textId="77777777" w:rsidR="00CF3957" w:rsidRPr="00B76D81" w:rsidRDefault="00CF3957" w:rsidP="001E71E3">
            <w:pPr>
              <w:jc w:val="right"/>
              <w:rPr>
                <w:sz w:val="18"/>
                <w:szCs w:val="18"/>
              </w:rPr>
            </w:pPr>
            <w:r w:rsidRPr="00B76D81">
              <w:rPr>
                <w:sz w:val="18"/>
                <w:szCs w:val="18"/>
              </w:rPr>
              <w:t>42.665.445,66</w:t>
            </w:r>
          </w:p>
        </w:tc>
      </w:tr>
      <w:tr w:rsidR="00CF3957" w:rsidRPr="00B76D81" w14:paraId="4A40B66F"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0AF3A80" w14:textId="77777777" w:rsidR="00CF3957" w:rsidRPr="00B76D81" w:rsidRDefault="00CF3957" w:rsidP="001E71E3">
            <w:pPr>
              <w:jc w:val="center"/>
              <w:rPr>
                <w:sz w:val="18"/>
                <w:szCs w:val="18"/>
              </w:rPr>
            </w:pPr>
            <w:r w:rsidRPr="00B76D81">
              <w:rPr>
                <w:sz w:val="18"/>
                <w:szCs w:val="18"/>
              </w:rPr>
              <w:t>18.</w:t>
            </w:r>
          </w:p>
        </w:tc>
        <w:tc>
          <w:tcPr>
            <w:tcW w:w="4009" w:type="dxa"/>
            <w:tcBorders>
              <w:top w:val="nil"/>
              <w:left w:val="nil"/>
              <w:bottom w:val="single" w:sz="4" w:space="0" w:color="auto"/>
              <w:right w:val="single" w:sz="4" w:space="0" w:color="auto"/>
            </w:tcBorders>
            <w:shd w:val="clear" w:color="auto" w:fill="auto"/>
            <w:vAlign w:val="center"/>
            <w:hideMark/>
          </w:tcPr>
          <w:p w14:paraId="4D640668" w14:textId="77777777" w:rsidR="00CF3957" w:rsidRPr="00B76D81" w:rsidRDefault="00CF3957" w:rsidP="001E71E3">
            <w:pPr>
              <w:rPr>
                <w:sz w:val="18"/>
                <w:szCs w:val="18"/>
              </w:rPr>
            </w:pPr>
            <w:r w:rsidRPr="00B76D81">
              <w:rPr>
                <w:sz w:val="18"/>
                <w:szCs w:val="18"/>
              </w:rPr>
              <w:t>LD 01845-003-000 - Projekt zaštite od poplava</w:t>
            </w:r>
          </w:p>
        </w:tc>
        <w:tc>
          <w:tcPr>
            <w:tcW w:w="745" w:type="dxa"/>
            <w:tcBorders>
              <w:top w:val="nil"/>
              <w:left w:val="nil"/>
              <w:bottom w:val="single" w:sz="4" w:space="0" w:color="auto"/>
              <w:right w:val="single" w:sz="4" w:space="0" w:color="auto"/>
            </w:tcBorders>
            <w:shd w:val="clear" w:color="auto" w:fill="auto"/>
            <w:noWrap/>
            <w:vAlign w:val="center"/>
            <w:hideMark/>
          </w:tcPr>
          <w:p w14:paraId="1156AFAE"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459E6F44"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6A1F615C" w14:textId="77777777" w:rsidR="00CF3957" w:rsidRPr="00B76D81" w:rsidRDefault="00CF3957" w:rsidP="001E71E3">
            <w:pPr>
              <w:jc w:val="right"/>
              <w:rPr>
                <w:sz w:val="18"/>
                <w:szCs w:val="18"/>
              </w:rPr>
            </w:pPr>
            <w:r w:rsidRPr="00B76D81">
              <w:rPr>
                <w:sz w:val="18"/>
                <w:szCs w:val="18"/>
              </w:rPr>
              <w:t>3.600.000,00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50E70892" w14:textId="77777777" w:rsidR="00CF3957" w:rsidRPr="00B76D81" w:rsidRDefault="00CF3957" w:rsidP="001E71E3">
            <w:pPr>
              <w:jc w:val="right"/>
              <w:rPr>
                <w:sz w:val="18"/>
                <w:szCs w:val="18"/>
              </w:rPr>
            </w:pPr>
            <w:r w:rsidRPr="00B76D81">
              <w:rPr>
                <w:sz w:val="18"/>
                <w:szCs w:val="18"/>
              </w:rPr>
              <w:t>27.124.200,00</w:t>
            </w:r>
          </w:p>
        </w:tc>
      </w:tr>
      <w:tr w:rsidR="00CF3957" w:rsidRPr="00B76D81" w14:paraId="63FC45CA"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FA3A1A8" w14:textId="77777777" w:rsidR="00CF3957" w:rsidRPr="00B76D81" w:rsidRDefault="00CF3957" w:rsidP="001E71E3">
            <w:pPr>
              <w:jc w:val="center"/>
              <w:rPr>
                <w:sz w:val="18"/>
                <w:szCs w:val="18"/>
              </w:rPr>
            </w:pPr>
            <w:r w:rsidRPr="00B76D81">
              <w:rPr>
                <w:sz w:val="18"/>
                <w:szCs w:val="18"/>
              </w:rPr>
              <w:t>19.</w:t>
            </w:r>
          </w:p>
        </w:tc>
        <w:tc>
          <w:tcPr>
            <w:tcW w:w="4009" w:type="dxa"/>
            <w:tcBorders>
              <w:top w:val="nil"/>
              <w:left w:val="nil"/>
              <w:bottom w:val="single" w:sz="4" w:space="0" w:color="auto"/>
              <w:right w:val="single" w:sz="4" w:space="0" w:color="auto"/>
            </w:tcBorders>
            <w:shd w:val="clear" w:color="auto" w:fill="auto"/>
            <w:vAlign w:val="center"/>
            <w:hideMark/>
          </w:tcPr>
          <w:p w14:paraId="337D8200" w14:textId="77777777" w:rsidR="00CF3957" w:rsidRPr="00B76D81" w:rsidRDefault="00CF3957" w:rsidP="001E71E3">
            <w:pPr>
              <w:rPr>
                <w:sz w:val="18"/>
                <w:szCs w:val="18"/>
              </w:rPr>
            </w:pPr>
            <w:r w:rsidRPr="00B76D81">
              <w:rPr>
                <w:sz w:val="18"/>
                <w:szCs w:val="18"/>
              </w:rPr>
              <w:t>LD 01845-004-000 - Projekt zaštite od poplava</w:t>
            </w:r>
          </w:p>
        </w:tc>
        <w:tc>
          <w:tcPr>
            <w:tcW w:w="745" w:type="dxa"/>
            <w:tcBorders>
              <w:top w:val="nil"/>
              <w:left w:val="nil"/>
              <w:bottom w:val="single" w:sz="4" w:space="0" w:color="auto"/>
              <w:right w:val="single" w:sz="4" w:space="0" w:color="auto"/>
            </w:tcBorders>
            <w:shd w:val="clear" w:color="auto" w:fill="auto"/>
            <w:noWrap/>
            <w:vAlign w:val="center"/>
            <w:hideMark/>
          </w:tcPr>
          <w:p w14:paraId="70F0F6EA"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673D62B2"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390031E3" w14:textId="77777777" w:rsidR="00CF3957" w:rsidRPr="00B76D81" w:rsidRDefault="00CF3957" w:rsidP="001E71E3">
            <w:pPr>
              <w:jc w:val="right"/>
              <w:rPr>
                <w:sz w:val="18"/>
                <w:szCs w:val="18"/>
              </w:rPr>
            </w:pPr>
            <w:r w:rsidRPr="00B76D81">
              <w:rPr>
                <w:sz w:val="18"/>
                <w:szCs w:val="18"/>
              </w:rPr>
              <w:t>7.113.888,90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5786A888" w14:textId="77777777" w:rsidR="00CF3957" w:rsidRPr="00B76D81" w:rsidRDefault="00CF3957" w:rsidP="001E71E3">
            <w:pPr>
              <w:jc w:val="right"/>
              <w:rPr>
                <w:sz w:val="18"/>
                <w:szCs w:val="18"/>
              </w:rPr>
            </w:pPr>
            <w:r w:rsidRPr="00B76D81">
              <w:rPr>
                <w:sz w:val="18"/>
                <w:szCs w:val="18"/>
              </w:rPr>
              <w:t>53.599.595,92</w:t>
            </w:r>
          </w:p>
        </w:tc>
      </w:tr>
      <w:tr w:rsidR="00CF3957" w:rsidRPr="00B76D81" w14:paraId="14F719F7"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00E5529" w14:textId="77777777" w:rsidR="00CF3957" w:rsidRPr="00B76D81" w:rsidRDefault="00CF3957" w:rsidP="001E71E3">
            <w:pPr>
              <w:jc w:val="center"/>
              <w:rPr>
                <w:sz w:val="18"/>
                <w:szCs w:val="18"/>
              </w:rPr>
            </w:pPr>
            <w:r w:rsidRPr="00B76D81">
              <w:rPr>
                <w:sz w:val="18"/>
                <w:szCs w:val="18"/>
              </w:rPr>
              <w:t>20.</w:t>
            </w:r>
          </w:p>
        </w:tc>
        <w:tc>
          <w:tcPr>
            <w:tcW w:w="4009" w:type="dxa"/>
            <w:tcBorders>
              <w:top w:val="nil"/>
              <w:left w:val="nil"/>
              <w:bottom w:val="single" w:sz="4" w:space="0" w:color="auto"/>
              <w:right w:val="single" w:sz="4" w:space="0" w:color="auto"/>
            </w:tcBorders>
            <w:shd w:val="clear" w:color="auto" w:fill="auto"/>
            <w:vAlign w:val="center"/>
            <w:hideMark/>
          </w:tcPr>
          <w:p w14:paraId="20E5ECA0" w14:textId="77777777" w:rsidR="00CF3957" w:rsidRPr="00B76D81" w:rsidRDefault="00CF3957" w:rsidP="001E71E3">
            <w:pPr>
              <w:rPr>
                <w:sz w:val="18"/>
                <w:szCs w:val="18"/>
              </w:rPr>
            </w:pPr>
            <w:r w:rsidRPr="00B76D81">
              <w:rPr>
                <w:sz w:val="18"/>
                <w:szCs w:val="18"/>
              </w:rPr>
              <w:t>LD 01845-005-000 - Projekt zaštite od poplava</w:t>
            </w:r>
          </w:p>
        </w:tc>
        <w:tc>
          <w:tcPr>
            <w:tcW w:w="745" w:type="dxa"/>
            <w:tcBorders>
              <w:top w:val="nil"/>
              <w:left w:val="nil"/>
              <w:bottom w:val="single" w:sz="4" w:space="0" w:color="auto"/>
              <w:right w:val="single" w:sz="4" w:space="0" w:color="auto"/>
            </w:tcBorders>
            <w:shd w:val="clear" w:color="auto" w:fill="auto"/>
            <w:noWrap/>
            <w:vAlign w:val="center"/>
            <w:hideMark/>
          </w:tcPr>
          <w:p w14:paraId="2FB36ABA"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111228AE"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00AF5D27" w14:textId="77777777" w:rsidR="00CF3957" w:rsidRPr="00B76D81" w:rsidRDefault="00CF3957" w:rsidP="001E71E3">
            <w:pPr>
              <w:jc w:val="right"/>
              <w:rPr>
                <w:sz w:val="18"/>
                <w:szCs w:val="18"/>
              </w:rPr>
            </w:pPr>
            <w:r w:rsidRPr="00B76D81">
              <w:rPr>
                <w:sz w:val="18"/>
                <w:szCs w:val="18"/>
              </w:rPr>
              <w:t>7.761.500,01</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62954EA6" w14:textId="77777777" w:rsidR="00CF3957" w:rsidRPr="00B76D81" w:rsidRDefault="00CF3957" w:rsidP="001E71E3">
            <w:pPr>
              <w:jc w:val="right"/>
              <w:rPr>
                <w:sz w:val="18"/>
                <w:szCs w:val="18"/>
              </w:rPr>
            </w:pPr>
            <w:r w:rsidRPr="00B76D81">
              <w:rPr>
                <w:sz w:val="18"/>
                <w:szCs w:val="18"/>
              </w:rPr>
              <w:t>58.479.021,83</w:t>
            </w:r>
          </w:p>
        </w:tc>
      </w:tr>
      <w:tr w:rsidR="00CF3957" w:rsidRPr="00B76D81" w14:paraId="481C4000"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6ABC7A2" w14:textId="77777777" w:rsidR="00CF3957" w:rsidRPr="00B76D81" w:rsidRDefault="00CF3957" w:rsidP="001E71E3">
            <w:pPr>
              <w:jc w:val="center"/>
              <w:rPr>
                <w:sz w:val="18"/>
                <w:szCs w:val="18"/>
              </w:rPr>
            </w:pPr>
            <w:r w:rsidRPr="00B76D81">
              <w:rPr>
                <w:sz w:val="18"/>
                <w:szCs w:val="18"/>
              </w:rPr>
              <w:t>21.</w:t>
            </w:r>
          </w:p>
        </w:tc>
        <w:tc>
          <w:tcPr>
            <w:tcW w:w="4009" w:type="dxa"/>
            <w:tcBorders>
              <w:top w:val="nil"/>
              <w:left w:val="nil"/>
              <w:bottom w:val="single" w:sz="4" w:space="0" w:color="auto"/>
              <w:right w:val="single" w:sz="4" w:space="0" w:color="auto"/>
            </w:tcBorders>
            <w:shd w:val="clear" w:color="auto" w:fill="auto"/>
            <w:vAlign w:val="center"/>
            <w:hideMark/>
          </w:tcPr>
          <w:p w14:paraId="671686D0" w14:textId="77777777" w:rsidR="00CF3957" w:rsidRPr="00B76D81" w:rsidRDefault="00CF3957" w:rsidP="001E71E3">
            <w:pPr>
              <w:rPr>
                <w:sz w:val="18"/>
                <w:szCs w:val="18"/>
              </w:rPr>
            </w:pPr>
            <w:r w:rsidRPr="00B76D81">
              <w:rPr>
                <w:sz w:val="18"/>
                <w:szCs w:val="18"/>
              </w:rPr>
              <w:t xml:space="preserve">LD 2056-001-000 - Podrška mjerama u Republici Hrvatskoj, povezanih s </w:t>
            </w:r>
            <w:proofErr w:type="spellStart"/>
            <w:r w:rsidRPr="00B76D81">
              <w:rPr>
                <w:sz w:val="18"/>
                <w:szCs w:val="18"/>
              </w:rPr>
              <w:t>pandemijom</w:t>
            </w:r>
            <w:proofErr w:type="spellEnd"/>
            <w:r w:rsidRPr="00B76D81">
              <w:rPr>
                <w:sz w:val="18"/>
                <w:szCs w:val="18"/>
              </w:rPr>
              <w:t xml:space="preserve"> bolesti COVID-19 – instrument financiranja javnog sektora</w:t>
            </w:r>
          </w:p>
        </w:tc>
        <w:tc>
          <w:tcPr>
            <w:tcW w:w="745" w:type="dxa"/>
            <w:tcBorders>
              <w:top w:val="nil"/>
              <w:left w:val="nil"/>
              <w:bottom w:val="single" w:sz="4" w:space="0" w:color="auto"/>
              <w:right w:val="single" w:sz="4" w:space="0" w:color="auto"/>
            </w:tcBorders>
            <w:shd w:val="clear" w:color="auto" w:fill="auto"/>
            <w:noWrap/>
            <w:vAlign w:val="center"/>
            <w:hideMark/>
          </w:tcPr>
          <w:p w14:paraId="663EC828"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hideMark/>
          </w:tcPr>
          <w:p w14:paraId="11918445"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168C0776" w14:textId="77777777" w:rsidR="00CF3957" w:rsidRPr="00B76D81" w:rsidRDefault="00CF3957" w:rsidP="001E71E3">
            <w:pPr>
              <w:jc w:val="right"/>
              <w:rPr>
                <w:sz w:val="18"/>
                <w:szCs w:val="18"/>
              </w:rPr>
            </w:pPr>
            <w:r w:rsidRPr="00B76D81">
              <w:rPr>
                <w:sz w:val="18"/>
                <w:szCs w:val="18"/>
              </w:rPr>
              <w:t>150.000.000,00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1506FCC8" w14:textId="77777777" w:rsidR="00CF3957" w:rsidRPr="00B76D81" w:rsidRDefault="00CF3957" w:rsidP="001E71E3">
            <w:pPr>
              <w:jc w:val="right"/>
              <w:rPr>
                <w:sz w:val="18"/>
                <w:szCs w:val="18"/>
              </w:rPr>
            </w:pPr>
            <w:r w:rsidRPr="00B76D81">
              <w:rPr>
                <w:sz w:val="18"/>
                <w:szCs w:val="18"/>
              </w:rPr>
              <w:t>1.130.175.000,00</w:t>
            </w:r>
          </w:p>
        </w:tc>
      </w:tr>
      <w:tr w:rsidR="00CF3957" w:rsidRPr="00B76D81" w14:paraId="54FAAE12"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ED01471" w14:textId="77777777" w:rsidR="00CF3957" w:rsidRPr="00B76D81" w:rsidRDefault="00CF3957" w:rsidP="001E71E3">
            <w:pPr>
              <w:jc w:val="center"/>
              <w:rPr>
                <w:sz w:val="18"/>
                <w:szCs w:val="18"/>
              </w:rPr>
            </w:pPr>
            <w:r w:rsidRPr="00B76D81">
              <w:rPr>
                <w:sz w:val="18"/>
                <w:szCs w:val="18"/>
              </w:rPr>
              <w:t>22.</w:t>
            </w:r>
          </w:p>
        </w:tc>
        <w:tc>
          <w:tcPr>
            <w:tcW w:w="4009" w:type="dxa"/>
            <w:tcBorders>
              <w:top w:val="nil"/>
              <w:left w:val="nil"/>
              <w:bottom w:val="single" w:sz="4" w:space="0" w:color="auto"/>
              <w:right w:val="single" w:sz="4" w:space="0" w:color="auto"/>
            </w:tcBorders>
            <w:shd w:val="clear" w:color="auto" w:fill="auto"/>
            <w:vAlign w:val="center"/>
          </w:tcPr>
          <w:p w14:paraId="0FAD2818" w14:textId="77777777" w:rsidR="00CF3957" w:rsidRPr="00B76D81" w:rsidRDefault="00CF3957" w:rsidP="001E71E3">
            <w:pPr>
              <w:rPr>
                <w:sz w:val="18"/>
                <w:szCs w:val="18"/>
              </w:rPr>
            </w:pPr>
            <w:r w:rsidRPr="00B76D81">
              <w:rPr>
                <w:sz w:val="18"/>
                <w:szCs w:val="18"/>
              </w:rPr>
              <w:t xml:space="preserve">LD 2056-002-000 - Podrška mjerama u Republici Hrvatskoj, povezanih s </w:t>
            </w:r>
            <w:proofErr w:type="spellStart"/>
            <w:r w:rsidRPr="00B76D81">
              <w:rPr>
                <w:sz w:val="18"/>
                <w:szCs w:val="18"/>
              </w:rPr>
              <w:t>pandemijom</w:t>
            </w:r>
            <w:proofErr w:type="spellEnd"/>
            <w:r w:rsidRPr="00B76D81">
              <w:rPr>
                <w:sz w:val="18"/>
                <w:szCs w:val="18"/>
              </w:rPr>
              <w:t xml:space="preserve"> bolesti COVID-19 – instrument financiranja javnog sektora</w:t>
            </w:r>
          </w:p>
        </w:tc>
        <w:tc>
          <w:tcPr>
            <w:tcW w:w="745" w:type="dxa"/>
            <w:tcBorders>
              <w:top w:val="nil"/>
              <w:left w:val="nil"/>
              <w:bottom w:val="single" w:sz="4" w:space="0" w:color="auto"/>
              <w:right w:val="single" w:sz="4" w:space="0" w:color="auto"/>
            </w:tcBorders>
            <w:shd w:val="clear" w:color="auto" w:fill="auto"/>
            <w:noWrap/>
            <w:vAlign w:val="center"/>
          </w:tcPr>
          <w:p w14:paraId="00E7C9B5" w14:textId="77777777" w:rsidR="00CF3957" w:rsidRPr="00B76D81" w:rsidRDefault="00CF3957" w:rsidP="001E71E3">
            <w:pPr>
              <w:jc w:val="center"/>
              <w:rPr>
                <w:sz w:val="18"/>
                <w:szCs w:val="18"/>
              </w:rPr>
            </w:pPr>
            <w:r w:rsidRPr="00B76D81">
              <w:rPr>
                <w:sz w:val="18"/>
                <w:szCs w:val="18"/>
              </w:rPr>
              <w:t>CEB</w:t>
            </w:r>
          </w:p>
        </w:tc>
        <w:tc>
          <w:tcPr>
            <w:tcW w:w="755" w:type="dxa"/>
            <w:tcBorders>
              <w:top w:val="nil"/>
              <w:left w:val="nil"/>
              <w:bottom w:val="single" w:sz="4" w:space="0" w:color="auto"/>
              <w:right w:val="single" w:sz="4" w:space="0" w:color="auto"/>
            </w:tcBorders>
            <w:shd w:val="clear" w:color="auto" w:fill="auto"/>
            <w:noWrap/>
            <w:vAlign w:val="center"/>
          </w:tcPr>
          <w:p w14:paraId="5731E5F1"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tcPr>
          <w:p w14:paraId="304F2971" w14:textId="77777777" w:rsidR="00CF3957" w:rsidRPr="00B76D81" w:rsidRDefault="00CF3957" w:rsidP="001E71E3">
            <w:pPr>
              <w:jc w:val="right"/>
              <w:rPr>
                <w:sz w:val="18"/>
                <w:szCs w:val="18"/>
              </w:rPr>
            </w:pPr>
            <w:r w:rsidRPr="00B76D81">
              <w:rPr>
                <w:sz w:val="18"/>
                <w:szCs w:val="18"/>
              </w:rPr>
              <w:t>50.000.000,00</w:t>
            </w:r>
          </w:p>
        </w:tc>
        <w:tc>
          <w:tcPr>
            <w:tcW w:w="1578" w:type="dxa"/>
            <w:tcBorders>
              <w:top w:val="nil"/>
              <w:left w:val="single" w:sz="4" w:space="0" w:color="auto"/>
              <w:bottom w:val="single" w:sz="4" w:space="0" w:color="auto"/>
              <w:right w:val="single" w:sz="4" w:space="0" w:color="auto"/>
            </w:tcBorders>
            <w:shd w:val="clear" w:color="auto" w:fill="auto"/>
            <w:noWrap/>
            <w:vAlign w:val="center"/>
          </w:tcPr>
          <w:p w14:paraId="67F59FA7" w14:textId="77777777" w:rsidR="00CF3957" w:rsidRPr="00B76D81" w:rsidRDefault="00CF3957" w:rsidP="001E71E3">
            <w:pPr>
              <w:jc w:val="right"/>
              <w:rPr>
                <w:sz w:val="18"/>
                <w:szCs w:val="18"/>
              </w:rPr>
            </w:pPr>
            <w:r w:rsidRPr="00B76D81">
              <w:rPr>
                <w:sz w:val="18"/>
                <w:szCs w:val="18"/>
              </w:rPr>
              <w:t>376.725.000,00</w:t>
            </w:r>
          </w:p>
        </w:tc>
      </w:tr>
      <w:tr w:rsidR="00CF3957" w:rsidRPr="00B76D81" w14:paraId="1596F33B" w14:textId="77777777" w:rsidTr="001E71E3">
        <w:trPr>
          <w:trHeight w:val="311"/>
          <w:jc w:val="center"/>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D1AA" w14:textId="77777777" w:rsidR="00CF3957" w:rsidRPr="00B76D81" w:rsidRDefault="00CF3957" w:rsidP="001E71E3">
            <w:pPr>
              <w:jc w:val="center"/>
              <w:rPr>
                <w:b/>
                <w:bCs/>
                <w:sz w:val="18"/>
                <w:szCs w:val="18"/>
              </w:rPr>
            </w:pPr>
          </w:p>
        </w:tc>
        <w:tc>
          <w:tcPr>
            <w:tcW w:w="4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3A87" w14:textId="77777777" w:rsidR="00CF3957" w:rsidRPr="00B76D81" w:rsidRDefault="00CF3957" w:rsidP="001E71E3">
            <w:pPr>
              <w:rPr>
                <w:b/>
                <w:bCs/>
                <w:sz w:val="18"/>
                <w:szCs w:val="18"/>
              </w:rPr>
            </w:pPr>
            <w:r w:rsidRPr="00B76D81">
              <w:rPr>
                <w:b/>
                <w:bCs/>
                <w:sz w:val="18"/>
                <w:szCs w:val="18"/>
              </w:rPr>
              <w:t> UKUPNO</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E29BA" w14:textId="77777777" w:rsidR="00CF3957" w:rsidRPr="00B76D81" w:rsidRDefault="00CF3957" w:rsidP="001E71E3">
            <w:pPr>
              <w:jc w:val="center"/>
              <w:rPr>
                <w:b/>
                <w:bCs/>
                <w:sz w:val="18"/>
                <w:szCs w:val="18"/>
              </w:rPr>
            </w:pPr>
            <w:r w:rsidRPr="00B76D81">
              <w:rPr>
                <w:b/>
                <w:bCs/>
                <w:sz w:val="18"/>
                <w:szCs w:val="18"/>
              </w:rPr>
              <w:t>CEB</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B8DB" w14:textId="77777777" w:rsidR="00CF3957" w:rsidRPr="00B76D81" w:rsidRDefault="00CF3957" w:rsidP="001E71E3">
            <w:pPr>
              <w:jc w:val="center"/>
              <w:rPr>
                <w:b/>
                <w:bCs/>
                <w:sz w:val="18"/>
                <w:szCs w:val="18"/>
              </w:rPr>
            </w:pPr>
            <w:r w:rsidRPr="00B76D81">
              <w:rPr>
                <w:b/>
                <w:bCs/>
                <w:sz w:val="18"/>
                <w:szCs w:val="18"/>
              </w:rPr>
              <w:t>EUR</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7A62B" w14:textId="77777777" w:rsidR="00CF3957" w:rsidRPr="00B76D81" w:rsidRDefault="00CF3957" w:rsidP="001E71E3">
            <w:pPr>
              <w:jc w:val="right"/>
              <w:rPr>
                <w:b/>
                <w:bCs/>
                <w:sz w:val="18"/>
                <w:szCs w:val="18"/>
              </w:rPr>
            </w:pPr>
            <w:r w:rsidRPr="00B76D81">
              <w:rPr>
                <w:b/>
                <w:bCs/>
                <w:sz w:val="18"/>
                <w:szCs w:val="18"/>
              </w:rPr>
              <w:t>269.323.009,88</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E75B7" w14:textId="77777777" w:rsidR="00CF3957" w:rsidRPr="00B76D81" w:rsidRDefault="00CF3957" w:rsidP="001E71E3">
            <w:pPr>
              <w:jc w:val="right"/>
              <w:rPr>
                <w:b/>
                <w:bCs/>
                <w:sz w:val="18"/>
                <w:szCs w:val="18"/>
              </w:rPr>
            </w:pPr>
            <w:r w:rsidRPr="00B76D81">
              <w:rPr>
                <w:b/>
                <w:bCs/>
                <w:sz w:val="18"/>
                <w:szCs w:val="18"/>
              </w:rPr>
              <w:t>2.029.214.217,94</w:t>
            </w:r>
          </w:p>
        </w:tc>
      </w:tr>
      <w:tr w:rsidR="00CF3957" w:rsidRPr="00B76D81" w14:paraId="3EC76A3A" w14:textId="77777777" w:rsidTr="001E71E3">
        <w:trPr>
          <w:trHeight w:val="756"/>
          <w:jc w:val="center"/>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DAC0" w14:textId="77777777" w:rsidR="00CF3957" w:rsidRPr="00B76D81" w:rsidRDefault="00CF3957" w:rsidP="001E71E3">
            <w:pPr>
              <w:jc w:val="center"/>
              <w:rPr>
                <w:sz w:val="18"/>
                <w:szCs w:val="18"/>
              </w:rPr>
            </w:pPr>
            <w:r w:rsidRPr="00B76D81">
              <w:rPr>
                <w:sz w:val="18"/>
                <w:szCs w:val="18"/>
              </w:rPr>
              <w:t>23.</w:t>
            </w:r>
          </w:p>
        </w:tc>
        <w:tc>
          <w:tcPr>
            <w:tcW w:w="4009" w:type="dxa"/>
            <w:tcBorders>
              <w:top w:val="single" w:sz="4" w:space="0" w:color="auto"/>
              <w:left w:val="nil"/>
              <w:bottom w:val="single" w:sz="4" w:space="0" w:color="auto"/>
              <w:right w:val="single" w:sz="4" w:space="0" w:color="auto"/>
            </w:tcBorders>
            <w:shd w:val="clear" w:color="auto" w:fill="auto"/>
            <w:vAlign w:val="center"/>
            <w:hideMark/>
          </w:tcPr>
          <w:p w14:paraId="57BDDA0E" w14:textId="77777777" w:rsidR="00CF3957" w:rsidRPr="00B76D81" w:rsidRDefault="00CF3957" w:rsidP="001E71E3">
            <w:pPr>
              <w:rPr>
                <w:sz w:val="18"/>
                <w:szCs w:val="18"/>
              </w:rPr>
            </w:pPr>
            <w:r w:rsidRPr="00B76D81">
              <w:rPr>
                <w:sz w:val="18"/>
                <w:szCs w:val="18"/>
              </w:rPr>
              <w:t>75980-HR IFL FS - Projekt unapređenja hitne medicinske pomoći i investicijskog planiranja u zdravstvu</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296330EA" w14:textId="77777777" w:rsidR="00CF3957" w:rsidRPr="00B76D81" w:rsidRDefault="00CF3957" w:rsidP="001E71E3">
            <w:pPr>
              <w:jc w:val="center"/>
              <w:rPr>
                <w:sz w:val="18"/>
                <w:szCs w:val="18"/>
              </w:rPr>
            </w:pPr>
            <w:r w:rsidRPr="00B76D81">
              <w:rPr>
                <w:sz w:val="18"/>
                <w:szCs w:val="18"/>
              </w:rPr>
              <w:t>IBRD</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5D585513" w14:textId="77777777" w:rsidR="00CF3957" w:rsidRPr="00B76D81" w:rsidRDefault="00CF3957" w:rsidP="001E71E3">
            <w:pPr>
              <w:jc w:val="center"/>
              <w:rPr>
                <w:sz w:val="18"/>
                <w:szCs w:val="18"/>
              </w:rPr>
            </w:pPr>
            <w:r w:rsidRPr="00B76D81">
              <w:rPr>
                <w:sz w:val="18"/>
                <w:szCs w:val="18"/>
              </w:rPr>
              <w:t>EUR</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B277" w14:textId="77777777" w:rsidR="00CF3957" w:rsidRPr="00B76D81" w:rsidRDefault="00CF3957" w:rsidP="001E71E3">
            <w:pPr>
              <w:jc w:val="right"/>
              <w:rPr>
                <w:sz w:val="18"/>
                <w:szCs w:val="18"/>
              </w:rPr>
            </w:pPr>
            <w:r w:rsidRPr="00B76D81">
              <w:rPr>
                <w:sz w:val="18"/>
                <w:szCs w:val="18"/>
              </w:rPr>
              <w:t>10.569.264,85</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F3CAC" w14:textId="77777777" w:rsidR="00CF3957" w:rsidRPr="00B76D81" w:rsidRDefault="00CF3957" w:rsidP="001E71E3">
            <w:pPr>
              <w:jc w:val="right"/>
              <w:rPr>
                <w:sz w:val="18"/>
                <w:szCs w:val="18"/>
              </w:rPr>
            </w:pPr>
            <w:r w:rsidRPr="00B76D81">
              <w:rPr>
                <w:sz w:val="18"/>
                <w:szCs w:val="18"/>
              </w:rPr>
              <w:t>79.634.126,01</w:t>
            </w:r>
          </w:p>
        </w:tc>
      </w:tr>
      <w:tr w:rsidR="00CF3957" w:rsidRPr="00B76D81" w14:paraId="3E06F19E"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3430173" w14:textId="77777777" w:rsidR="00CF3957" w:rsidRPr="00B76D81" w:rsidRDefault="00CF3957" w:rsidP="001E71E3">
            <w:pPr>
              <w:jc w:val="center"/>
              <w:rPr>
                <w:sz w:val="18"/>
                <w:szCs w:val="18"/>
              </w:rPr>
            </w:pPr>
            <w:r w:rsidRPr="00B76D81">
              <w:rPr>
                <w:sz w:val="18"/>
                <w:szCs w:val="18"/>
              </w:rPr>
              <w:t>24.</w:t>
            </w:r>
          </w:p>
        </w:tc>
        <w:tc>
          <w:tcPr>
            <w:tcW w:w="4009" w:type="dxa"/>
            <w:tcBorders>
              <w:top w:val="nil"/>
              <w:left w:val="nil"/>
              <w:bottom w:val="single" w:sz="4" w:space="0" w:color="auto"/>
              <w:right w:val="single" w:sz="4" w:space="0" w:color="auto"/>
            </w:tcBorders>
            <w:shd w:val="clear" w:color="auto" w:fill="auto"/>
            <w:vAlign w:val="center"/>
            <w:hideMark/>
          </w:tcPr>
          <w:p w14:paraId="3C9B4C1B" w14:textId="77777777" w:rsidR="00CF3957" w:rsidRPr="00B76D81" w:rsidRDefault="00CF3957" w:rsidP="001E71E3">
            <w:pPr>
              <w:rPr>
                <w:sz w:val="18"/>
                <w:szCs w:val="18"/>
              </w:rPr>
            </w:pPr>
            <w:r w:rsidRPr="00B76D81">
              <w:rPr>
                <w:sz w:val="18"/>
                <w:szCs w:val="18"/>
              </w:rPr>
              <w:t>76400-HR IFL FS - Projekt zaštite od onečišćenja voda na priobalnom području 2</w:t>
            </w:r>
          </w:p>
        </w:tc>
        <w:tc>
          <w:tcPr>
            <w:tcW w:w="745" w:type="dxa"/>
            <w:tcBorders>
              <w:top w:val="nil"/>
              <w:left w:val="nil"/>
              <w:bottom w:val="single" w:sz="4" w:space="0" w:color="auto"/>
              <w:right w:val="single" w:sz="4" w:space="0" w:color="auto"/>
            </w:tcBorders>
            <w:shd w:val="clear" w:color="auto" w:fill="auto"/>
            <w:noWrap/>
            <w:vAlign w:val="center"/>
            <w:hideMark/>
          </w:tcPr>
          <w:p w14:paraId="2CC36B8C"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6001AC21"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3B3558C3" w14:textId="77777777" w:rsidR="00CF3957" w:rsidRPr="00B76D81" w:rsidRDefault="00CF3957" w:rsidP="001E71E3">
            <w:pPr>
              <w:jc w:val="right"/>
              <w:rPr>
                <w:sz w:val="18"/>
                <w:szCs w:val="18"/>
              </w:rPr>
            </w:pPr>
            <w:r w:rsidRPr="00B76D81">
              <w:rPr>
                <w:sz w:val="18"/>
                <w:szCs w:val="18"/>
              </w:rPr>
              <w:t>6.208.515,44</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089B0477" w14:textId="77777777" w:rsidR="00CF3957" w:rsidRPr="00B76D81" w:rsidRDefault="00CF3957" w:rsidP="001E71E3">
            <w:pPr>
              <w:jc w:val="right"/>
              <w:rPr>
                <w:sz w:val="18"/>
                <w:szCs w:val="18"/>
              </w:rPr>
            </w:pPr>
            <w:r w:rsidRPr="00B76D81">
              <w:rPr>
                <w:sz w:val="18"/>
                <w:szCs w:val="18"/>
              </w:rPr>
              <w:t>46.778.059,58</w:t>
            </w:r>
          </w:p>
        </w:tc>
      </w:tr>
      <w:tr w:rsidR="00CF3957" w:rsidRPr="00B76D81" w14:paraId="0AEECAA3"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B701091" w14:textId="77777777" w:rsidR="00CF3957" w:rsidRPr="00B76D81" w:rsidRDefault="00CF3957" w:rsidP="001E71E3">
            <w:pPr>
              <w:jc w:val="center"/>
              <w:rPr>
                <w:sz w:val="18"/>
                <w:szCs w:val="18"/>
              </w:rPr>
            </w:pPr>
            <w:r w:rsidRPr="00B76D81">
              <w:rPr>
                <w:sz w:val="18"/>
                <w:szCs w:val="18"/>
              </w:rPr>
              <w:t>25.</w:t>
            </w:r>
          </w:p>
        </w:tc>
        <w:tc>
          <w:tcPr>
            <w:tcW w:w="4009" w:type="dxa"/>
            <w:tcBorders>
              <w:top w:val="nil"/>
              <w:left w:val="nil"/>
              <w:bottom w:val="single" w:sz="4" w:space="0" w:color="auto"/>
              <w:right w:val="single" w:sz="4" w:space="0" w:color="auto"/>
            </w:tcBorders>
            <w:shd w:val="clear" w:color="auto" w:fill="auto"/>
            <w:vAlign w:val="center"/>
            <w:hideMark/>
          </w:tcPr>
          <w:p w14:paraId="0538602C" w14:textId="77777777" w:rsidR="00CF3957" w:rsidRPr="00B76D81" w:rsidRDefault="00CF3957" w:rsidP="001E71E3">
            <w:pPr>
              <w:rPr>
                <w:sz w:val="18"/>
                <w:szCs w:val="18"/>
              </w:rPr>
            </w:pPr>
            <w:r w:rsidRPr="00B76D81">
              <w:rPr>
                <w:sz w:val="18"/>
                <w:szCs w:val="18"/>
              </w:rPr>
              <w:t>78460-HR IFL FS DPL - Zajam za razvojnu politiku u fiskalnom, socijalnom i financijskom sektoru</w:t>
            </w:r>
          </w:p>
        </w:tc>
        <w:tc>
          <w:tcPr>
            <w:tcW w:w="745" w:type="dxa"/>
            <w:tcBorders>
              <w:top w:val="nil"/>
              <w:left w:val="nil"/>
              <w:bottom w:val="single" w:sz="4" w:space="0" w:color="auto"/>
              <w:right w:val="single" w:sz="4" w:space="0" w:color="auto"/>
            </w:tcBorders>
            <w:shd w:val="clear" w:color="auto" w:fill="auto"/>
            <w:noWrap/>
            <w:vAlign w:val="center"/>
            <w:hideMark/>
          </w:tcPr>
          <w:p w14:paraId="5ECE3520"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27D8EEDC"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4850266B" w14:textId="77777777" w:rsidR="00CF3957" w:rsidRPr="00B76D81" w:rsidRDefault="00CF3957" w:rsidP="001E71E3">
            <w:pPr>
              <w:jc w:val="right"/>
              <w:rPr>
                <w:sz w:val="18"/>
                <w:szCs w:val="18"/>
              </w:rPr>
            </w:pPr>
            <w:r w:rsidRPr="00B76D81">
              <w:rPr>
                <w:sz w:val="18"/>
                <w:szCs w:val="18"/>
              </w:rPr>
              <w:t>200.000.000,00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45DEAF10" w14:textId="77777777" w:rsidR="00CF3957" w:rsidRPr="00B76D81" w:rsidRDefault="00CF3957" w:rsidP="001E71E3">
            <w:pPr>
              <w:jc w:val="right"/>
              <w:rPr>
                <w:sz w:val="18"/>
                <w:szCs w:val="18"/>
              </w:rPr>
            </w:pPr>
            <w:r w:rsidRPr="00B76D81">
              <w:rPr>
                <w:sz w:val="18"/>
                <w:szCs w:val="18"/>
              </w:rPr>
              <w:t>1.506.900.000,00</w:t>
            </w:r>
          </w:p>
        </w:tc>
      </w:tr>
      <w:tr w:rsidR="00CF3957" w:rsidRPr="00B76D81" w14:paraId="257BB756"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5E0902E" w14:textId="77777777" w:rsidR="00CF3957" w:rsidRPr="00B76D81" w:rsidRDefault="00CF3957" w:rsidP="001E71E3">
            <w:pPr>
              <w:jc w:val="center"/>
              <w:rPr>
                <w:sz w:val="18"/>
                <w:szCs w:val="18"/>
              </w:rPr>
            </w:pPr>
            <w:r w:rsidRPr="00B76D81">
              <w:rPr>
                <w:sz w:val="18"/>
                <w:szCs w:val="18"/>
              </w:rPr>
              <w:t>26.</w:t>
            </w:r>
          </w:p>
        </w:tc>
        <w:tc>
          <w:tcPr>
            <w:tcW w:w="4009" w:type="dxa"/>
            <w:tcBorders>
              <w:top w:val="nil"/>
              <w:left w:val="nil"/>
              <w:bottom w:val="single" w:sz="4" w:space="0" w:color="auto"/>
              <w:right w:val="single" w:sz="4" w:space="0" w:color="auto"/>
            </w:tcBorders>
            <w:shd w:val="clear" w:color="auto" w:fill="auto"/>
            <w:vAlign w:val="center"/>
            <w:hideMark/>
          </w:tcPr>
          <w:p w14:paraId="1307FAB2" w14:textId="77777777" w:rsidR="00CF3957" w:rsidRPr="00B76D81" w:rsidRDefault="00CF3957" w:rsidP="001E71E3">
            <w:pPr>
              <w:rPr>
                <w:sz w:val="18"/>
                <w:szCs w:val="18"/>
              </w:rPr>
            </w:pPr>
            <w:r w:rsidRPr="00B76D81">
              <w:rPr>
                <w:sz w:val="18"/>
                <w:szCs w:val="18"/>
              </w:rPr>
              <w:t>78880-HR IFL FS - Projekt potpore pravosudnom sektoru</w:t>
            </w:r>
          </w:p>
        </w:tc>
        <w:tc>
          <w:tcPr>
            <w:tcW w:w="745" w:type="dxa"/>
            <w:tcBorders>
              <w:top w:val="nil"/>
              <w:left w:val="nil"/>
              <w:bottom w:val="single" w:sz="4" w:space="0" w:color="auto"/>
              <w:right w:val="single" w:sz="4" w:space="0" w:color="auto"/>
            </w:tcBorders>
            <w:shd w:val="clear" w:color="auto" w:fill="auto"/>
            <w:noWrap/>
            <w:vAlign w:val="center"/>
            <w:hideMark/>
          </w:tcPr>
          <w:p w14:paraId="34294B2B"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2F35758E"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30EBA69F" w14:textId="77777777" w:rsidR="00CF3957" w:rsidRPr="00B76D81" w:rsidRDefault="00CF3957" w:rsidP="001E71E3">
            <w:pPr>
              <w:jc w:val="right"/>
              <w:rPr>
                <w:sz w:val="18"/>
                <w:szCs w:val="18"/>
              </w:rPr>
            </w:pPr>
            <w:r w:rsidRPr="00B76D81">
              <w:rPr>
                <w:sz w:val="18"/>
                <w:szCs w:val="18"/>
              </w:rPr>
              <w:t>16.702.650,32</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5B63FA07" w14:textId="77777777" w:rsidR="00CF3957" w:rsidRPr="00B76D81" w:rsidRDefault="00CF3957" w:rsidP="001E71E3">
            <w:pPr>
              <w:jc w:val="right"/>
              <w:rPr>
                <w:sz w:val="18"/>
                <w:szCs w:val="18"/>
              </w:rPr>
            </w:pPr>
            <w:r w:rsidRPr="00B76D81">
              <w:rPr>
                <w:sz w:val="18"/>
                <w:szCs w:val="18"/>
              </w:rPr>
              <w:t>125.846.118,84</w:t>
            </w:r>
          </w:p>
        </w:tc>
      </w:tr>
      <w:tr w:rsidR="00CF3957" w:rsidRPr="00B76D81" w14:paraId="63211685"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6351B16" w14:textId="77777777" w:rsidR="00CF3957" w:rsidRPr="00B76D81" w:rsidRDefault="00CF3957" w:rsidP="001E71E3">
            <w:pPr>
              <w:jc w:val="center"/>
              <w:rPr>
                <w:sz w:val="18"/>
                <w:szCs w:val="18"/>
              </w:rPr>
            </w:pPr>
            <w:r w:rsidRPr="00B76D81">
              <w:rPr>
                <w:sz w:val="18"/>
                <w:szCs w:val="18"/>
              </w:rPr>
              <w:t>27.</w:t>
            </w:r>
          </w:p>
        </w:tc>
        <w:tc>
          <w:tcPr>
            <w:tcW w:w="4009" w:type="dxa"/>
            <w:tcBorders>
              <w:top w:val="nil"/>
              <w:left w:val="nil"/>
              <w:bottom w:val="single" w:sz="4" w:space="0" w:color="auto"/>
              <w:right w:val="single" w:sz="4" w:space="0" w:color="auto"/>
            </w:tcBorders>
            <w:shd w:val="clear" w:color="auto" w:fill="auto"/>
            <w:vAlign w:val="center"/>
            <w:hideMark/>
          </w:tcPr>
          <w:p w14:paraId="0E5CE15A" w14:textId="77777777" w:rsidR="00CF3957" w:rsidRPr="00B76D81" w:rsidRDefault="00CF3957" w:rsidP="001E71E3">
            <w:pPr>
              <w:rPr>
                <w:sz w:val="18"/>
                <w:szCs w:val="18"/>
              </w:rPr>
            </w:pPr>
            <w:r w:rsidRPr="00B76D81">
              <w:rPr>
                <w:sz w:val="18"/>
                <w:szCs w:val="18"/>
              </w:rPr>
              <w:t>80210-HR IFL FS - Projekt integracije u EU Natura 2000</w:t>
            </w:r>
          </w:p>
        </w:tc>
        <w:tc>
          <w:tcPr>
            <w:tcW w:w="745" w:type="dxa"/>
            <w:tcBorders>
              <w:top w:val="nil"/>
              <w:left w:val="nil"/>
              <w:bottom w:val="single" w:sz="4" w:space="0" w:color="auto"/>
              <w:right w:val="single" w:sz="4" w:space="0" w:color="auto"/>
            </w:tcBorders>
            <w:shd w:val="clear" w:color="auto" w:fill="auto"/>
            <w:noWrap/>
            <w:vAlign w:val="center"/>
            <w:hideMark/>
          </w:tcPr>
          <w:p w14:paraId="1C3E02AE"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11F97D8B"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2B51F70B" w14:textId="77777777" w:rsidR="00CF3957" w:rsidRPr="00B76D81" w:rsidRDefault="00CF3957" w:rsidP="001E71E3">
            <w:pPr>
              <w:jc w:val="right"/>
              <w:rPr>
                <w:sz w:val="18"/>
                <w:szCs w:val="18"/>
              </w:rPr>
            </w:pPr>
            <w:r w:rsidRPr="00B76D81">
              <w:rPr>
                <w:sz w:val="18"/>
                <w:szCs w:val="18"/>
              </w:rPr>
              <w:t>11.220.996,22</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027F27A8" w14:textId="77777777" w:rsidR="00CF3957" w:rsidRPr="00B76D81" w:rsidRDefault="00CF3957" w:rsidP="001E71E3">
            <w:pPr>
              <w:jc w:val="right"/>
              <w:rPr>
                <w:sz w:val="18"/>
                <w:szCs w:val="18"/>
              </w:rPr>
            </w:pPr>
            <w:r w:rsidRPr="00B76D81">
              <w:rPr>
                <w:sz w:val="18"/>
                <w:szCs w:val="18"/>
              </w:rPr>
              <w:t>84.544.596,02</w:t>
            </w:r>
          </w:p>
        </w:tc>
      </w:tr>
      <w:tr w:rsidR="00CF3957" w:rsidRPr="00B76D81" w14:paraId="6C46C179"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769D8E5" w14:textId="77777777" w:rsidR="00CF3957" w:rsidRPr="00B76D81" w:rsidRDefault="00CF3957" w:rsidP="001E71E3">
            <w:pPr>
              <w:jc w:val="center"/>
              <w:rPr>
                <w:sz w:val="18"/>
                <w:szCs w:val="18"/>
              </w:rPr>
            </w:pPr>
            <w:r w:rsidRPr="00B76D81">
              <w:rPr>
                <w:sz w:val="18"/>
                <w:szCs w:val="18"/>
              </w:rPr>
              <w:t>28.</w:t>
            </w:r>
          </w:p>
        </w:tc>
        <w:tc>
          <w:tcPr>
            <w:tcW w:w="4009" w:type="dxa"/>
            <w:tcBorders>
              <w:top w:val="nil"/>
              <w:left w:val="nil"/>
              <w:bottom w:val="single" w:sz="4" w:space="0" w:color="auto"/>
              <w:right w:val="single" w:sz="4" w:space="0" w:color="auto"/>
            </w:tcBorders>
            <w:shd w:val="clear" w:color="auto" w:fill="auto"/>
            <w:vAlign w:val="center"/>
            <w:hideMark/>
          </w:tcPr>
          <w:p w14:paraId="02B274E1" w14:textId="77777777" w:rsidR="00CF3957" w:rsidRPr="00B76D81" w:rsidRDefault="00CF3957" w:rsidP="001E71E3">
            <w:pPr>
              <w:rPr>
                <w:sz w:val="18"/>
                <w:szCs w:val="18"/>
              </w:rPr>
            </w:pPr>
            <w:r w:rsidRPr="00B76D81">
              <w:rPr>
                <w:sz w:val="18"/>
                <w:szCs w:val="18"/>
              </w:rPr>
              <w:t>80630-HR IFL FS ERDPL - Zajam za razvojnu politiku gospodarskog oporavka</w:t>
            </w:r>
          </w:p>
        </w:tc>
        <w:tc>
          <w:tcPr>
            <w:tcW w:w="745" w:type="dxa"/>
            <w:tcBorders>
              <w:top w:val="nil"/>
              <w:left w:val="nil"/>
              <w:bottom w:val="single" w:sz="4" w:space="0" w:color="auto"/>
              <w:right w:val="single" w:sz="4" w:space="0" w:color="auto"/>
            </w:tcBorders>
            <w:shd w:val="clear" w:color="auto" w:fill="auto"/>
            <w:noWrap/>
            <w:vAlign w:val="center"/>
            <w:hideMark/>
          </w:tcPr>
          <w:p w14:paraId="133A8B3F"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47FCA982"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42FFC4DB" w14:textId="77777777" w:rsidR="00CF3957" w:rsidRPr="00B76D81" w:rsidRDefault="00CF3957" w:rsidP="001E71E3">
            <w:pPr>
              <w:jc w:val="right"/>
              <w:rPr>
                <w:sz w:val="18"/>
                <w:szCs w:val="18"/>
              </w:rPr>
            </w:pPr>
            <w:r w:rsidRPr="00B76D81">
              <w:rPr>
                <w:sz w:val="18"/>
                <w:szCs w:val="18"/>
              </w:rPr>
              <w:t>150.000.000,00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692FDD39" w14:textId="77777777" w:rsidR="00CF3957" w:rsidRPr="00B76D81" w:rsidRDefault="00CF3957" w:rsidP="001E71E3">
            <w:pPr>
              <w:jc w:val="right"/>
              <w:rPr>
                <w:sz w:val="18"/>
                <w:szCs w:val="18"/>
              </w:rPr>
            </w:pPr>
            <w:r w:rsidRPr="00B76D81">
              <w:rPr>
                <w:sz w:val="18"/>
                <w:szCs w:val="18"/>
              </w:rPr>
              <w:t>1.130.175.000,00</w:t>
            </w:r>
          </w:p>
        </w:tc>
      </w:tr>
      <w:tr w:rsidR="00CF3957" w:rsidRPr="00B76D81" w14:paraId="423802AD"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1794321" w14:textId="77777777" w:rsidR="00CF3957" w:rsidRPr="00B76D81" w:rsidRDefault="00CF3957" w:rsidP="001E71E3">
            <w:pPr>
              <w:jc w:val="center"/>
              <w:rPr>
                <w:sz w:val="18"/>
                <w:szCs w:val="18"/>
              </w:rPr>
            </w:pPr>
            <w:r w:rsidRPr="00B76D81">
              <w:rPr>
                <w:sz w:val="18"/>
                <w:szCs w:val="18"/>
              </w:rPr>
              <w:t>29.</w:t>
            </w:r>
          </w:p>
        </w:tc>
        <w:tc>
          <w:tcPr>
            <w:tcW w:w="4009" w:type="dxa"/>
            <w:tcBorders>
              <w:top w:val="nil"/>
              <w:left w:val="nil"/>
              <w:bottom w:val="single" w:sz="4" w:space="0" w:color="auto"/>
              <w:right w:val="single" w:sz="4" w:space="0" w:color="auto"/>
            </w:tcBorders>
            <w:shd w:val="clear" w:color="auto" w:fill="auto"/>
            <w:vAlign w:val="center"/>
            <w:hideMark/>
          </w:tcPr>
          <w:p w14:paraId="541132B6" w14:textId="77777777" w:rsidR="00CF3957" w:rsidRPr="00B76D81" w:rsidRDefault="00CF3957" w:rsidP="001E71E3">
            <w:pPr>
              <w:rPr>
                <w:sz w:val="18"/>
                <w:szCs w:val="18"/>
              </w:rPr>
            </w:pPr>
            <w:r w:rsidRPr="00B76D81">
              <w:rPr>
                <w:sz w:val="18"/>
                <w:szCs w:val="18"/>
              </w:rPr>
              <w:t>80860-HR IFL FS - Projekt implementacije integriranog sustava zemljišne administracije</w:t>
            </w:r>
          </w:p>
        </w:tc>
        <w:tc>
          <w:tcPr>
            <w:tcW w:w="745" w:type="dxa"/>
            <w:tcBorders>
              <w:top w:val="nil"/>
              <w:left w:val="nil"/>
              <w:bottom w:val="single" w:sz="4" w:space="0" w:color="auto"/>
              <w:right w:val="single" w:sz="4" w:space="0" w:color="auto"/>
            </w:tcBorders>
            <w:shd w:val="clear" w:color="auto" w:fill="auto"/>
            <w:noWrap/>
            <w:vAlign w:val="center"/>
            <w:hideMark/>
          </w:tcPr>
          <w:p w14:paraId="32D35559"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707DFA04"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2BED5E9F" w14:textId="77777777" w:rsidR="00CF3957" w:rsidRPr="00B76D81" w:rsidRDefault="00CF3957" w:rsidP="001E71E3">
            <w:pPr>
              <w:jc w:val="right"/>
              <w:rPr>
                <w:sz w:val="18"/>
                <w:szCs w:val="18"/>
              </w:rPr>
            </w:pPr>
            <w:r w:rsidRPr="00B76D81">
              <w:rPr>
                <w:sz w:val="18"/>
                <w:szCs w:val="18"/>
              </w:rPr>
              <w:t>9.222.189,25</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4C53B448" w14:textId="77777777" w:rsidR="00CF3957" w:rsidRPr="00B76D81" w:rsidRDefault="00CF3957" w:rsidP="001E71E3">
            <w:pPr>
              <w:jc w:val="right"/>
              <w:rPr>
                <w:sz w:val="18"/>
                <w:szCs w:val="18"/>
              </w:rPr>
            </w:pPr>
            <w:r w:rsidRPr="00B76D81">
              <w:rPr>
                <w:sz w:val="18"/>
                <w:szCs w:val="18"/>
              </w:rPr>
              <w:t>69.484.584,90</w:t>
            </w:r>
          </w:p>
        </w:tc>
      </w:tr>
      <w:tr w:rsidR="00CF3957" w:rsidRPr="00B76D81" w14:paraId="25693F86"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9CB7C7D" w14:textId="77777777" w:rsidR="00CF3957" w:rsidRPr="00B76D81" w:rsidRDefault="00CF3957" w:rsidP="001E71E3">
            <w:pPr>
              <w:jc w:val="center"/>
              <w:rPr>
                <w:sz w:val="18"/>
                <w:szCs w:val="18"/>
              </w:rPr>
            </w:pPr>
            <w:r w:rsidRPr="00B76D81">
              <w:rPr>
                <w:sz w:val="18"/>
                <w:szCs w:val="18"/>
              </w:rPr>
              <w:t>30.</w:t>
            </w:r>
          </w:p>
        </w:tc>
        <w:tc>
          <w:tcPr>
            <w:tcW w:w="4009" w:type="dxa"/>
            <w:tcBorders>
              <w:top w:val="nil"/>
              <w:left w:val="nil"/>
              <w:bottom w:val="single" w:sz="4" w:space="0" w:color="auto"/>
              <w:right w:val="single" w:sz="4" w:space="0" w:color="auto"/>
            </w:tcBorders>
            <w:shd w:val="clear" w:color="auto" w:fill="auto"/>
            <w:vAlign w:val="center"/>
            <w:hideMark/>
          </w:tcPr>
          <w:p w14:paraId="0E73B8DB" w14:textId="77777777" w:rsidR="00CF3957" w:rsidRPr="00B76D81" w:rsidRDefault="00CF3957" w:rsidP="001E71E3">
            <w:pPr>
              <w:rPr>
                <w:sz w:val="18"/>
                <w:szCs w:val="18"/>
              </w:rPr>
            </w:pPr>
            <w:r w:rsidRPr="00B76D81">
              <w:rPr>
                <w:sz w:val="18"/>
                <w:szCs w:val="18"/>
              </w:rPr>
              <w:t>83640-HR IFL FS ERDPL 2 - Drugi zajam za razvojnu politiku gospodarskog oporavka</w:t>
            </w:r>
          </w:p>
        </w:tc>
        <w:tc>
          <w:tcPr>
            <w:tcW w:w="745" w:type="dxa"/>
            <w:tcBorders>
              <w:top w:val="nil"/>
              <w:left w:val="nil"/>
              <w:bottom w:val="single" w:sz="4" w:space="0" w:color="auto"/>
              <w:right w:val="single" w:sz="4" w:space="0" w:color="auto"/>
            </w:tcBorders>
            <w:shd w:val="clear" w:color="auto" w:fill="auto"/>
            <w:noWrap/>
            <w:vAlign w:val="center"/>
            <w:hideMark/>
          </w:tcPr>
          <w:p w14:paraId="08875D56"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4C14736C"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479CE581" w14:textId="77777777" w:rsidR="00CF3957" w:rsidRPr="00B76D81" w:rsidRDefault="00CF3957" w:rsidP="001E71E3">
            <w:pPr>
              <w:jc w:val="right"/>
              <w:rPr>
                <w:sz w:val="18"/>
                <w:szCs w:val="18"/>
              </w:rPr>
            </w:pPr>
            <w:r w:rsidRPr="00B76D81">
              <w:rPr>
                <w:sz w:val="18"/>
                <w:szCs w:val="18"/>
              </w:rPr>
              <w:t>150.000.000,00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691D5596" w14:textId="77777777" w:rsidR="00CF3957" w:rsidRPr="00B76D81" w:rsidRDefault="00CF3957" w:rsidP="001E71E3">
            <w:pPr>
              <w:jc w:val="right"/>
              <w:rPr>
                <w:sz w:val="18"/>
                <w:szCs w:val="18"/>
              </w:rPr>
            </w:pPr>
            <w:r w:rsidRPr="00B76D81">
              <w:rPr>
                <w:sz w:val="18"/>
                <w:szCs w:val="18"/>
              </w:rPr>
              <w:t>1.130.175.000,00</w:t>
            </w:r>
          </w:p>
        </w:tc>
      </w:tr>
      <w:tr w:rsidR="00CF3957" w:rsidRPr="00B76D81" w14:paraId="79210FCF"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1B6BDF6" w14:textId="77777777" w:rsidR="00CF3957" w:rsidRPr="00B76D81" w:rsidRDefault="00CF3957" w:rsidP="001E71E3">
            <w:pPr>
              <w:jc w:val="center"/>
              <w:rPr>
                <w:sz w:val="18"/>
                <w:szCs w:val="18"/>
              </w:rPr>
            </w:pPr>
            <w:r w:rsidRPr="00B76D81">
              <w:rPr>
                <w:sz w:val="18"/>
                <w:szCs w:val="18"/>
              </w:rPr>
              <w:t>31.</w:t>
            </w:r>
          </w:p>
        </w:tc>
        <w:tc>
          <w:tcPr>
            <w:tcW w:w="4009" w:type="dxa"/>
            <w:tcBorders>
              <w:top w:val="nil"/>
              <w:left w:val="nil"/>
              <w:bottom w:val="single" w:sz="4" w:space="0" w:color="auto"/>
              <w:right w:val="single" w:sz="4" w:space="0" w:color="auto"/>
            </w:tcBorders>
            <w:shd w:val="clear" w:color="auto" w:fill="auto"/>
            <w:vAlign w:val="center"/>
            <w:hideMark/>
          </w:tcPr>
          <w:p w14:paraId="6AA26EBD" w14:textId="77777777" w:rsidR="00CF3957" w:rsidRPr="00B76D81" w:rsidRDefault="00CF3957" w:rsidP="001E71E3">
            <w:pPr>
              <w:rPr>
                <w:sz w:val="18"/>
                <w:szCs w:val="18"/>
              </w:rPr>
            </w:pPr>
            <w:r w:rsidRPr="00B76D81">
              <w:rPr>
                <w:sz w:val="18"/>
                <w:szCs w:val="18"/>
              </w:rPr>
              <w:t>83650-HR IFL FS - Program poboljšanja kvalitete i djelotvornosti pružanja zdravstvenih usluga</w:t>
            </w:r>
          </w:p>
        </w:tc>
        <w:tc>
          <w:tcPr>
            <w:tcW w:w="745" w:type="dxa"/>
            <w:tcBorders>
              <w:top w:val="nil"/>
              <w:left w:val="nil"/>
              <w:bottom w:val="single" w:sz="4" w:space="0" w:color="auto"/>
              <w:right w:val="single" w:sz="4" w:space="0" w:color="auto"/>
            </w:tcBorders>
            <w:shd w:val="clear" w:color="auto" w:fill="auto"/>
            <w:noWrap/>
            <w:vAlign w:val="center"/>
            <w:hideMark/>
          </w:tcPr>
          <w:p w14:paraId="747F49D5"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52407646"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0E064C0D" w14:textId="77777777" w:rsidR="00CF3957" w:rsidRPr="00B76D81" w:rsidRDefault="00CF3957" w:rsidP="001E71E3">
            <w:pPr>
              <w:jc w:val="right"/>
              <w:rPr>
                <w:sz w:val="18"/>
                <w:szCs w:val="18"/>
              </w:rPr>
            </w:pPr>
            <w:r w:rsidRPr="00B76D81">
              <w:rPr>
                <w:sz w:val="18"/>
                <w:szCs w:val="18"/>
              </w:rPr>
              <w:t>46.282.957,15</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22A0426D" w14:textId="77777777" w:rsidR="00CF3957" w:rsidRPr="00B76D81" w:rsidRDefault="00CF3957" w:rsidP="001E71E3">
            <w:pPr>
              <w:jc w:val="right"/>
              <w:rPr>
                <w:sz w:val="18"/>
                <w:szCs w:val="18"/>
              </w:rPr>
            </w:pPr>
            <w:r w:rsidRPr="00B76D81">
              <w:rPr>
                <w:sz w:val="18"/>
                <w:szCs w:val="18"/>
              </w:rPr>
              <w:t>348.718.940,65</w:t>
            </w:r>
          </w:p>
        </w:tc>
      </w:tr>
      <w:tr w:rsidR="00CF3957" w:rsidRPr="00B76D81" w14:paraId="66811FE4"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4686B98" w14:textId="77777777" w:rsidR="00CF3957" w:rsidRPr="00B76D81" w:rsidRDefault="00CF3957" w:rsidP="001E71E3">
            <w:pPr>
              <w:jc w:val="center"/>
              <w:rPr>
                <w:sz w:val="18"/>
                <w:szCs w:val="18"/>
              </w:rPr>
            </w:pPr>
            <w:r w:rsidRPr="00B76D81">
              <w:rPr>
                <w:sz w:val="18"/>
                <w:szCs w:val="18"/>
              </w:rPr>
              <w:t>32.</w:t>
            </w:r>
          </w:p>
        </w:tc>
        <w:tc>
          <w:tcPr>
            <w:tcW w:w="4009" w:type="dxa"/>
            <w:tcBorders>
              <w:top w:val="nil"/>
              <w:left w:val="nil"/>
              <w:bottom w:val="single" w:sz="4" w:space="0" w:color="auto"/>
              <w:right w:val="single" w:sz="4" w:space="0" w:color="auto"/>
            </w:tcBorders>
            <w:shd w:val="clear" w:color="auto" w:fill="auto"/>
            <w:vAlign w:val="center"/>
            <w:hideMark/>
          </w:tcPr>
          <w:p w14:paraId="34F44F35" w14:textId="77777777" w:rsidR="00CF3957" w:rsidRPr="00B76D81" w:rsidRDefault="00CF3957" w:rsidP="001E71E3">
            <w:pPr>
              <w:rPr>
                <w:sz w:val="18"/>
                <w:szCs w:val="18"/>
              </w:rPr>
            </w:pPr>
            <w:r w:rsidRPr="00B76D81">
              <w:rPr>
                <w:sz w:val="18"/>
                <w:szCs w:val="18"/>
              </w:rPr>
              <w:t>87490-HR IFL FS - Projekt modernizacije i restrukturiranja cestovnog sektora</w:t>
            </w:r>
          </w:p>
        </w:tc>
        <w:tc>
          <w:tcPr>
            <w:tcW w:w="745" w:type="dxa"/>
            <w:tcBorders>
              <w:top w:val="nil"/>
              <w:left w:val="nil"/>
              <w:bottom w:val="single" w:sz="4" w:space="0" w:color="auto"/>
              <w:right w:val="single" w:sz="4" w:space="0" w:color="auto"/>
            </w:tcBorders>
            <w:shd w:val="clear" w:color="auto" w:fill="auto"/>
            <w:noWrap/>
            <w:vAlign w:val="center"/>
            <w:hideMark/>
          </w:tcPr>
          <w:p w14:paraId="1B8F6572"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67337AF0"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3D002FB1" w14:textId="77777777" w:rsidR="00CF3957" w:rsidRPr="00B76D81" w:rsidRDefault="00CF3957" w:rsidP="001E71E3">
            <w:pPr>
              <w:jc w:val="right"/>
              <w:rPr>
                <w:sz w:val="18"/>
                <w:szCs w:val="18"/>
              </w:rPr>
            </w:pPr>
            <w:r w:rsidRPr="00B76D81">
              <w:rPr>
                <w:sz w:val="18"/>
                <w:szCs w:val="18"/>
              </w:rPr>
              <w:t>10.869.137,27</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4B325F5C" w14:textId="77777777" w:rsidR="00CF3957" w:rsidRPr="00B76D81" w:rsidRDefault="00CF3957" w:rsidP="001E71E3">
            <w:pPr>
              <w:jc w:val="right"/>
              <w:rPr>
                <w:sz w:val="18"/>
                <w:szCs w:val="18"/>
              </w:rPr>
            </w:pPr>
            <w:r w:rsidRPr="00B76D81">
              <w:rPr>
                <w:sz w:val="18"/>
                <w:szCs w:val="18"/>
              </w:rPr>
              <w:t>81.893.514,76</w:t>
            </w:r>
          </w:p>
        </w:tc>
      </w:tr>
      <w:tr w:rsidR="00CF3957" w:rsidRPr="00B76D81" w14:paraId="0226C1B1"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2B15502" w14:textId="77777777" w:rsidR="00CF3957" w:rsidRPr="00B76D81" w:rsidRDefault="00CF3957" w:rsidP="001E71E3">
            <w:pPr>
              <w:jc w:val="center"/>
              <w:rPr>
                <w:sz w:val="18"/>
                <w:szCs w:val="18"/>
              </w:rPr>
            </w:pPr>
            <w:r w:rsidRPr="00B76D81">
              <w:rPr>
                <w:sz w:val="18"/>
                <w:szCs w:val="18"/>
              </w:rPr>
              <w:t>33.</w:t>
            </w:r>
          </w:p>
        </w:tc>
        <w:tc>
          <w:tcPr>
            <w:tcW w:w="4009" w:type="dxa"/>
            <w:tcBorders>
              <w:top w:val="nil"/>
              <w:left w:val="nil"/>
              <w:bottom w:val="single" w:sz="4" w:space="0" w:color="auto"/>
              <w:right w:val="single" w:sz="4" w:space="0" w:color="auto"/>
            </w:tcBorders>
            <w:shd w:val="clear" w:color="auto" w:fill="auto"/>
            <w:vAlign w:val="center"/>
            <w:hideMark/>
          </w:tcPr>
          <w:p w14:paraId="6816E5C5" w14:textId="77777777" w:rsidR="00CF3957" w:rsidRPr="00B76D81" w:rsidRDefault="00CF3957" w:rsidP="001E71E3">
            <w:pPr>
              <w:rPr>
                <w:sz w:val="18"/>
                <w:szCs w:val="18"/>
              </w:rPr>
            </w:pPr>
            <w:r w:rsidRPr="00B76D81">
              <w:rPr>
                <w:sz w:val="18"/>
                <w:szCs w:val="18"/>
              </w:rPr>
              <w:t xml:space="preserve">89000-HR IFL FS - Dodatno financiranje Projekta implementacije integriranog sustava zemljišne administracije </w:t>
            </w:r>
          </w:p>
        </w:tc>
        <w:tc>
          <w:tcPr>
            <w:tcW w:w="745" w:type="dxa"/>
            <w:tcBorders>
              <w:top w:val="nil"/>
              <w:left w:val="nil"/>
              <w:bottom w:val="single" w:sz="4" w:space="0" w:color="auto"/>
              <w:right w:val="single" w:sz="4" w:space="0" w:color="auto"/>
            </w:tcBorders>
            <w:shd w:val="clear" w:color="auto" w:fill="auto"/>
            <w:noWrap/>
            <w:vAlign w:val="center"/>
            <w:hideMark/>
          </w:tcPr>
          <w:p w14:paraId="5179B1AD"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44A21509"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190DD649" w14:textId="77777777" w:rsidR="00CF3957" w:rsidRPr="00B76D81" w:rsidRDefault="00CF3957" w:rsidP="001E71E3">
            <w:pPr>
              <w:jc w:val="right"/>
              <w:rPr>
                <w:sz w:val="18"/>
                <w:szCs w:val="18"/>
              </w:rPr>
            </w:pPr>
            <w:r w:rsidRPr="00B76D81">
              <w:rPr>
                <w:sz w:val="18"/>
                <w:szCs w:val="18"/>
              </w:rPr>
              <w:t>15.066.224,69</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42E26418" w14:textId="77777777" w:rsidR="00CF3957" w:rsidRPr="00B76D81" w:rsidRDefault="00CF3957" w:rsidP="001E71E3">
            <w:pPr>
              <w:jc w:val="right"/>
              <w:rPr>
                <w:sz w:val="18"/>
                <w:szCs w:val="18"/>
              </w:rPr>
            </w:pPr>
            <w:r w:rsidRPr="00B76D81">
              <w:rPr>
                <w:sz w:val="18"/>
                <w:szCs w:val="18"/>
              </w:rPr>
              <w:t>113.516.469,93</w:t>
            </w:r>
          </w:p>
        </w:tc>
      </w:tr>
      <w:tr w:rsidR="00CF3957" w:rsidRPr="00B76D81" w14:paraId="10CBF67F" w14:textId="77777777" w:rsidTr="001E71E3">
        <w:trPr>
          <w:trHeight w:val="252"/>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3E15607" w14:textId="77777777" w:rsidR="00CF3957" w:rsidRPr="00B76D81" w:rsidRDefault="00CF3957" w:rsidP="001E71E3">
            <w:pPr>
              <w:jc w:val="center"/>
              <w:rPr>
                <w:sz w:val="18"/>
                <w:szCs w:val="18"/>
              </w:rPr>
            </w:pPr>
            <w:r w:rsidRPr="00B76D81">
              <w:rPr>
                <w:sz w:val="18"/>
                <w:szCs w:val="18"/>
              </w:rPr>
              <w:t>34.</w:t>
            </w:r>
          </w:p>
        </w:tc>
        <w:tc>
          <w:tcPr>
            <w:tcW w:w="4009" w:type="dxa"/>
            <w:tcBorders>
              <w:top w:val="nil"/>
              <w:left w:val="nil"/>
              <w:bottom w:val="single" w:sz="4" w:space="0" w:color="auto"/>
              <w:right w:val="single" w:sz="4" w:space="0" w:color="auto"/>
            </w:tcBorders>
            <w:shd w:val="clear" w:color="auto" w:fill="auto"/>
            <w:vAlign w:val="center"/>
            <w:hideMark/>
          </w:tcPr>
          <w:p w14:paraId="16AE2343" w14:textId="77777777" w:rsidR="00CF3957" w:rsidRPr="00B76D81" w:rsidRDefault="00CF3957" w:rsidP="001E71E3">
            <w:pPr>
              <w:rPr>
                <w:sz w:val="18"/>
                <w:szCs w:val="18"/>
              </w:rPr>
            </w:pPr>
            <w:r w:rsidRPr="00B76D81">
              <w:rPr>
                <w:sz w:val="18"/>
                <w:szCs w:val="18"/>
              </w:rPr>
              <w:t>90570-HR IFL FS - Projekt učinkovitog pravosuđa za bolje poslovno okruženje</w:t>
            </w:r>
          </w:p>
        </w:tc>
        <w:tc>
          <w:tcPr>
            <w:tcW w:w="745" w:type="dxa"/>
            <w:tcBorders>
              <w:top w:val="nil"/>
              <w:left w:val="nil"/>
              <w:bottom w:val="single" w:sz="4" w:space="0" w:color="auto"/>
              <w:right w:val="single" w:sz="4" w:space="0" w:color="auto"/>
            </w:tcBorders>
            <w:shd w:val="clear" w:color="auto" w:fill="auto"/>
            <w:noWrap/>
            <w:vAlign w:val="center"/>
            <w:hideMark/>
          </w:tcPr>
          <w:p w14:paraId="318B8E38"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51DBBBC1"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75BECAE7" w14:textId="77777777" w:rsidR="00CF3957" w:rsidRPr="00B76D81" w:rsidRDefault="00CF3957" w:rsidP="001E71E3">
            <w:pPr>
              <w:jc w:val="right"/>
              <w:rPr>
                <w:sz w:val="18"/>
                <w:szCs w:val="18"/>
              </w:rPr>
            </w:pPr>
            <w:r w:rsidRPr="00B76D81">
              <w:rPr>
                <w:sz w:val="18"/>
                <w:szCs w:val="18"/>
              </w:rPr>
              <w:t>25.759.537,53</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337B006C" w14:textId="77777777" w:rsidR="00CF3957" w:rsidRPr="00B76D81" w:rsidRDefault="00CF3957" w:rsidP="001E71E3">
            <w:pPr>
              <w:jc w:val="right"/>
              <w:rPr>
                <w:sz w:val="18"/>
                <w:szCs w:val="18"/>
              </w:rPr>
            </w:pPr>
            <w:r w:rsidRPr="00B76D81">
              <w:rPr>
                <w:sz w:val="18"/>
                <w:szCs w:val="18"/>
              </w:rPr>
              <w:t>194.085.235,52</w:t>
            </w:r>
          </w:p>
        </w:tc>
      </w:tr>
      <w:tr w:rsidR="00CF3957" w:rsidRPr="00B76D81" w14:paraId="18B76B9C"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BBC0FA5" w14:textId="77777777" w:rsidR="00CF3957" w:rsidRPr="00B76D81" w:rsidRDefault="00CF3957" w:rsidP="001E71E3">
            <w:pPr>
              <w:jc w:val="center"/>
              <w:rPr>
                <w:sz w:val="18"/>
                <w:szCs w:val="18"/>
              </w:rPr>
            </w:pPr>
            <w:r w:rsidRPr="00B76D81">
              <w:rPr>
                <w:sz w:val="18"/>
                <w:szCs w:val="18"/>
              </w:rPr>
              <w:t>35.</w:t>
            </w:r>
          </w:p>
        </w:tc>
        <w:tc>
          <w:tcPr>
            <w:tcW w:w="4009" w:type="dxa"/>
            <w:tcBorders>
              <w:top w:val="nil"/>
              <w:left w:val="nil"/>
              <w:bottom w:val="single" w:sz="4" w:space="0" w:color="auto"/>
              <w:right w:val="single" w:sz="4" w:space="0" w:color="auto"/>
            </w:tcBorders>
            <w:shd w:val="clear" w:color="auto" w:fill="auto"/>
            <w:vAlign w:val="center"/>
            <w:hideMark/>
          </w:tcPr>
          <w:p w14:paraId="78B11EE7" w14:textId="77777777" w:rsidR="00CF3957" w:rsidRPr="00B76D81" w:rsidRDefault="00CF3957" w:rsidP="001E71E3">
            <w:pPr>
              <w:rPr>
                <w:sz w:val="18"/>
                <w:szCs w:val="18"/>
              </w:rPr>
            </w:pPr>
            <w:r w:rsidRPr="00B76D81">
              <w:rPr>
                <w:sz w:val="18"/>
                <w:szCs w:val="18"/>
              </w:rPr>
              <w:t>91270-HR IFL FS - Projekt oporavka nakon potresa i jačanja pripravnosti javnog zdravstva</w:t>
            </w:r>
          </w:p>
        </w:tc>
        <w:tc>
          <w:tcPr>
            <w:tcW w:w="745" w:type="dxa"/>
            <w:tcBorders>
              <w:top w:val="nil"/>
              <w:left w:val="nil"/>
              <w:bottom w:val="single" w:sz="4" w:space="0" w:color="auto"/>
              <w:right w:val="single" w:sz="4" w:space="0" w:color="auto"/>
            </w:tcBorders>
            <w:shd w:val="clear" w:color="auto" w:fill="auto"/>
            <w:noWrap/>
            <w:vAlign w:val="center"/>
            <w:hideMark/>
          </w:tcPr>
          <w:p w14:paraId="3DFB8EC3"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76A098A4"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14:paraId="0A0CC890" w14:textId="77777777" w:rsidR="00CF3957" w:rsidRPr="00B76D81" w:rsidRDefault="00CF3957" w:rsidP="001E71E3">
            <w:pPr>
              <w:jc w:val="right"/>
              <w:rPr>
                <w:sz w:val="18"/>
                <w:szCs w:val="18"/>
              </w:rPr>
            </w:pPr>
            <w:r w:rsidRPr="00B76D81">
              <w:rPr>
                <w:sz w:val="18"/>
                <w:szCs w:val="18"/>
              </w:rPr>
              <w:t>8.370.239,00</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14:paraId="2776EEE4" w14:textId="77777777" w:rsidR="00CF3957" w:rsidRPr="00B76D81" w:rsidRDefault="00CF3957" w:rsidP="001E71E3">
            <w:pPr>
              <w:jc w:val="right"/>
              <w:rPr>
                <w:sz w:val="18"/>
                <w:szCs w:val="18"/>
              </w:rPr>
            </w:pPr>
            <w:r w:rsidRPr="00B76D81">
              <w:rPr>
                <w:sz w:val="18"/>
                <w:szCs w:val="18"/>
              </w:rPr>
              <w:t>63.065.565,75</w:t>
            </w:r>
          </w:p>
        </w:tc>
      </w:tr>
      <w:tr w:rsidR="00CF3957" w:rsidRPr="00B76D81" w14:paraId="4C558D2B"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FA7FDC9" w14:textId="77777777" w:rsidR="00CF3957" w:rsidRPr="00B76D81" w:rsidRDefault="00CF3957" w:rsidP="001E71E3">
            <w:pPr>
              <w:jc w:val="center"/>
              <w:rPr>
                <w:sz w:val="18"/>
                <w:szCs w:val="18"/>
              </w:rPr>
            </w:pPr>
            <w:r w:rsidRPr="00B76D81">
              <w:rPr>
                <w:sz w:val="18"/>
                <w:szCs w:val="18"/>
              </w:rPr>
              <w:t>36.</w:t>
            </w:r>
          </w:p>
        </w:tc>
        <w:tc>
          <w:tcPr>
            <w:tcW w:w="4009" w:type="dxa"/>
            <w:tcBorders>
              <w:top w:val="nil"/>
              <w:left w:val="nil"/>
              <w:bottom w:val="single" w:sz="4" w:space="0" w:color="auto"/>
              <w:right w:val="single" w:sz="4" w:space="0" w:color="auto"/>
            </w:tcBorders>
            <w:shd w:val="clear" w:color="auto" w:fill="auto"/>
            <w:vAlign w:val="center"/>
            <w:hideMark/>
          </w:tcPr>
          <w:p w14:paraId="7ABFF81C" w14:textId="77777777" w:rsidR="00CF3957" w:rsidRPr="00B76D81" w:rsidRDefault="00CF3957" w:rsidP="001E71E3">
            <w:pPr>
              <w:rPr>
                <w:sz w:val="18"/>
                <w:szCs w:val="18"/>
              </w:rPr>
            </w:pPr>
            <w:r w:rsidRPr="00B76D81">
              <w:rPr>
                <w:sz w:val="18"/>
                <w:szCs w:val="18"/>
              </w:rPr>
              <w:t>91350-HR IFL FS - Zajam za razvojnu politiku za odgovor na krizu i podršku oporavku</w:t>
            </w:r>
          </w:p>
        </w:tc>
        <w:tc>
          <w:tcPr>
            <w:tcW w:w="745" w:type="dxa"/>
            <w:tcBorders>
              <w:top w:val="nil"/>
              <w:left w:val="nil"/>
              <w:bottom w:val="single" w:sz="4" w:space="0" w:color="auto"/>
              <w:right w:val="single" w:sz="4" w:space="0" w:color="auto"/>
            </w:tcBorders>
            <w:shd w:val="clear" w:color="auto" w:fill="auto"/>
            <w:noWrap/>
            <w:vAlign w:val="center"/>
            <w:hideMark/>
          </w:tcPr>
          <w:p w14:paraId="319E402F"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hideMark/>
          </w:tcPr>
          <w:p w14:paraId="1F112836"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nil"/>
              <w:bottom w:val="single" w:sz="4" w:space="0" w:color="auto"/>
              <w:right w:val="single" w:sz="4" w:space="0" w:color="auto"/>
            </w:tcBorders>
            <w:shd w:val="clear" w:color="auto" w:fill="auto"/>
            <w:noWrap/>
            <w:vAlign w:val="center"/>
            <w:hideMark/>
          </w:tcPr>
          <w:p w14:paraId="704070FD" w14:textId="77777777" w:rsidR="00CF3957" w:rsidRPr="00B76D81" w:rsidRDefault="00CF3957" w:rsidP="001E71E3">
            <w:pPr>
              <w:jc w:val="right"/>
              <w:rPr>
                <w:sz w:val="18"/>
                <w:szCs w:val="18"/>
              </w:rPr>
            </w:pPr>
            <w:r w:rsidRPr="00B76D81">
              <w:rPr>
                <w:sz w:val="18"/>
                <w:szCs w:val="18"/>
              </w:rPr>
              <w:t>275.900.000,00</w:t>
            </w:r>
          </w:p>
        </w:tc>
        <w:tc>
          <w:tcPr>
            <w:tcW w:w="1578" w:type="dxa"/>
            <w:tcBorders>
              <w:top w:val="nil"/>
              <w:left w:val="nil"/>
              <w:bottom w:val="single" w:sz="4" w:space="0" w:color="auto"/>
              <w:right w:val="single" w:sz="4" w:space="0" w:color="auto"/>
            </w:tcBorders>
            <w:shd w:val="clear" w:color="auto" w:fill="auto"/>
            <w:noWrap/>
            <w:vAlign w:val="center"/>
            <w:hideMark/>
          </w:tcPr>
          <w:p w14:paraId="733B7DC9" w14:textId="77777777" w:rsidR="00CF3957" w:rsidRPr="00B76D81" w:rsidRDefault="00CF3957" w:rsidP="001E71E3">
            <w:pPr>
              <w:jc w:val="right"/>
              <w:rPr>
                <w:sz w:val="18"/>
                <w:szCs w:val="18"/>
              </w:rPr>
            </w:pPr>
            <w:r w:rsidRPr="00B76D81">
              <w:rPr>
                <w:sz w:val="18"/>
                <w:szCs w:val="18"/>
              </w:rPr>
              <w:t>2.078.768.550,00</w:t>
            </w:r>
          </w:p>
        </w:tc>
      </w:tr>
      <w:tr w:rsidR="00CF3957" w:rsidRPr="00B76D81" w14:paraId="149D462A"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09157BEC" w14:textId="77777777" w:rsidR="00CF3957" w:rsidRPr="00B76D81" w:rsidRDefault="00CF3957" w:rsidP="001E71E3">
            <w:pPr>
              <w:jc w:val="center"/>
              <w:rPr>
                <w:sz w:val="18"/>
                <w:szCs w:val="18"/>
              </w:rPr>
            </w:pPr>
            <w:r w:rsidRPr="00B76D81">
              <w:rPr>
                <w:sz w:val="18"/>
                <w:szCs w:val="18"/>
              </w:rPr>
              <w:t>37.</w:t>
            </w:r>
          </w:p>
        </w:tc>
        <w:tc>
          <w:tcPr>
            <w:tcW w:w="4009" w:type="dxa"/>
            <w:tcBorders>
              <w:top w:val="single" w:sz="4" w:space="0" w:color="auto"/>
              <w:left w:val="single" w:sz="4" w:space="0" w:color="auto"/>
              <w:bottom w:val="single" w:sz="4" w:space="0" w:color="auto"/>
              <w:right w:val="single" w:sz="4" w:space="0" w:color="auto"/>
            </w:tcBorders>
            <w:shd w:val="clear" w:color="auto" w:fill="auto"/>
            <w:vAlign w:val="center"/>
          </w:tcPr>
          <w:p w14:paraId="183FC349" w14:textId="77777777" w:rsidR="00CF3957" w:rsidRPr="00B76D81" w:rsidRDefault="00CF3957" w:rsidP="001E71E3">
            <w:pPr>
              <w:rPr>
                <w:sz w:val="18"/>
                <w:szCs w:val="18"/>
              </w:rPr>
            </w:pPr>
            <w:r w:rsidRPr="00B76D81">
              <w:rPr>
                <w:sz w:val="18"/>
                <w:szCs w:val="18"/>
              </w:rPr>
              <w:t>93030-HR IFL VS - Projekt „Hrvatska: Ususret održivom, pravednom i učinkovitom obrazovanju“</w:t>
            </w:r>
          </w:p>
        </w:tc>
        <w:tc>
          <w:tcPr>
            <w:tcW w:w="745" w:type="dxa"/>
            <w:tcBorders>
              <w:top w:val="nil"/>
              <w:left w:val="nil"/>
              <w:bottom w:val="single" w:sz="4" w:space="0" w:color="auto"/>
              <w:right w:val="single" w:sz="4" w:space="0" w:color="auto"/>
            </w:tcBorders>
            <w:shd w:val="clear" w:color="auto" w:fill="auto"/>
            <w:noWrap/>
            <w:vAlign w:val="center"/>
          </w:tcPr>
          <w:p w14:paraId="613383FC"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tcPr>
          <w:p w14:paraId="105B4ACB" w14:textId="77777777" w:rsidR="00CF3957" w:rsidRPr="00B76D81" w:rsidRDefault="00CF3957" w:rsidP="001E71E3">
            <w:pPr>
              <w:jc w:val="center"/>
              <w:rPr>
                <w:sz w:val="18"/>
                <w:szCs w:val="18"/>
              </w:rPr>
            </w:pPr>
            <w:r w:rsidRPr="00B76D81">
              <w:rPr>
                <w:sz w:val="18"/>
                <w:szCs w:val="18"/>
              </w:rPr>
              <w:t>EUR</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04F9" w14:textId="77777777" w:rsidR="00CF3957" w:rsidRPr="00B76D81" w:rsidRDefault="00CF3957" w:rsidP="001E71E3">
            <w:pPr>
              <w:jc w:val="right"/>
              <w:rPr>
                <w:sz w:val="18"/>
                <w:szCs w:val="18"/>
              </w:rPr>
            </w:pPr>
            <w:r w:rsidRPr="00B76D81">
              <w:rPr>
                <w:sz w:val="18"/>
                <w:szCs w:val="18"/>
              </w:rPr>
              <w:t>2.744.265,00</w:t>
            </w: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43872E9" w14:textId="77777777" w:rsidR="00CF3957" w:rsidRPr="00B76D81" w:rsidRDefault="00CF3957" w:rsidP="001E71E3">
            <w:pPr>
              <w:jc w:val="right"/>
              <w:rPr>
                <w:sz w:val="18"/>
                <w:szCs w:val="18"/>
              </w:rPr>
            </w:pPr>
            <w:r w:rsidRPr="00B76D81">
              <w:rPr>
                <w:sz w:val="18"/>
                <w:szCs w:val="18"/>
              </w:rPr>
              <w:t>20.676.664,64</w:t>
            </w:r>
          </w:p>
        </w:tc>
      </w:tr>
      <w:tr w:rsidR="00CF3957" w:rsidRPr="00B76D81" w14:paraId="54278CA5" w14:textId="77777777" w:rsidTr="001E71E3">
        <w:trPr>
          <w:trHeight w:val="50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14:paraId="709973D9" w14:textId="77777777" w:rsidR="00CF3957" w:rsidRPr="00B76D81" w:rsidRDefault="00CF3957" w:rsidP="001E71E3">
            <w:pPr>
              <w:jc w:val="center"/>
              <w:rPr>
                <w:sz w:val="18"/>
                <w:szCs w:val="18"/>
              </w:rPr>
            </w:pPr>
            <w:r w:rsidRPr="00B76D81">
              <w:rPr>
                <w:sz w:val="18"/>
                <w:szCs w:val="18"/>
              </w:rPr>
              <w:t>38.</w:t>
            </w:r>
          </w:p>
        </w:tc>
        <w:tc>
          <w:tcPr>
            <w:tcW w:w="4009" w:type="dxa"/>
            <w:tcBorders>
              <w:top w:val="nil"/>
              <w:left w:val="single" w:sz="4" w:space="0" w:color="auto"/>
              <w:bottom w:val="single" w:sz="4" w:space="0" w:color="auto"/>
              <w:right w:val="single" w:sz="4" w:space="0" w:color="auto"/>
            </w:tcBorders>
            <w:shd w:val="clear" w:color="auto" w:fill="auto"/>
            <w:vAlign w:val="center"/>
          </w:tcPr>
          <w:p w14:paraId="49FE4DAF" w14:textId="77777777" w:rsidR="00CF3957" w:rsidRPr="00B76D81" w:rsidRDefault="00CF3957" w:rsidP="001E71E3">
            <w:pPr>
              <w:rPr>
                <w:sz w:val="18"/>
                <w:szCs w:val="18"/>
              </w:rPr>
            </w:pPr>
            <w:r w:rsidRPr="00B76D81">
              <w:rPr>
                <w:sz w:val="18"/>
                <w:szCs w:val="18"/>
              </w:rPr>
              <w:t>85020-HR IFL VS - Projekt održivih hrvatskih željeznica u Europi</w:t>
            </w:r>
          </w:p>
        </w:tc>
        <w:tc>
          <w:tcPr>
            <w:tcW w:w="745" w:type="dxa"/>
            <w:tcBorders>
              <w:top w:val="nil"/>
              <w:left w:val="nil"/>
              <w:bottom w:val="single" w:sz="4" w:space="0" w:color="auto"/>
              <w:right w:val="single" w:sz="4" w:space="0" w:color="auto"/>
            </w:tcBorders>
            <w:shd w:val="clear" w:color="auto" w:fill="auto"/>
            <w:noWrap/>
            <w:vAlign w:val="center"/>
          </w:tcPr>
          <w:p w14:paraId="3BF7042C" w14:textId="77777777" w:rsidR="00CF3957" w:rsidRPr="00B76D81" w:rsidRDefault="00CF3957" w:rsidP="001E71E3">
            <w:pPr>
              <w:jc w:val="center"/>
              <w:rPr>
                <w:sz w:val="18"/>
                <w:szCs w:val="18"/>
              </w:rPr>
            </w:pPr>
            <w:r w:rsidRPr="00B76D81">
              <w:rPr>
                <w:sz w:val="18"/>
                <w:szCs w:val="18"/>
              </w:rPr>
              <w:t>IBRD</w:t>
            </w:r>
          </w:p>
        </w:tc>
        <w:tc>
          <w:tcPr>
            <w:tcW w:w="755" w:type="dxa"/>
            <w:tcBorders>
              <w:top w:val="nil"/>
              <w:left w:val="nil"/>
              <w:bottom w:val="single" w:sz="4" w:space="0" w:color="auto"/>
              <w:right w:val="single" w:sz="4" w:space="0" w:color="auto"/>
            </w:tcBorders>
            <w:shd w:val="clear" w:color="auto" w:fill="auto"/>
            <w:noWrap/>
            <w:vAlign w:val="center"/>
          </w:tcPr>
          <w:p w14:paraId="0E67DE69" w14:textId="77777777" w:rsidR="00CF3957" w:rsidRPr="00B76D81" w:rsidRDefault="00CF3957" w:rsidP="001E71E3">
            <w:pPr>
              <w:jc w:val="center"/>
              <w:rPr>
                <w:sz w:val="18"/>
                <w:szCs w:val="18"/>
              </w:rPr>
            </w:pPr>
            <w:r w:rsidRPr="00B76D81">
              <w:rPr>
                <w:sz w:val="18"/>
                <w:szCs w:val="18"/>
              </w:rPr>
              <w:t>EUR</w:t>
            </w:r>
          </w:p>
        </w:tc>
        <w:tc>
          <w:tcPr>
            <w:tcW w:w="1537" w:type="dxa"/>
            <w:tcBorders>
              <w:top w:val="nil"/>
              <w:left w:val="single" w:sz="4" w:space="0" w:color="auto"/>
              <w:bottom w:val="single" w:sz="4" w:space="0" w:color="auto"/>
              <w:right w:val="single" w:sz="4" w:space="0" w:color="auto"/>
            </w:tcBorders>
            <w:shd w:val="clear" w:color="auto" w:fill="auto"/>
            <w:noWrap/>
            <w:vAlign w:val="center"/>
          </w:tcPr>
          <w:p w14:paraId="41CC0E21" w14:textId="77777777" w:rsidR="00CF3957" w:rsidRPr="00B76D81" w:rsidRDefault="00CF3957" w:rsidP="001E71E3">
            <w:pPr>
              <w:jc w:val="right"/>
              <w:rPr>
                <w:sz w:val="18"/>
                <w:szCs w:val="18"/>
              </w:rPr>
            </w:pPr>
            <w:r w:rsidRPr="00B76D81">
              <w:rPr>
                <w:sz w:val="18"/>
                <w:szCs w:val="18"/>
              </w:rPr>
              <w:t>36.730.303,06</w:t>
            </w:r>
          </w:p>
        </w:tc>
        <w:tc>
          <w:tcPr>
            <w:tcW w:w="1578" w:type="dxa"/>
            <w:tcBorders>
              <w:top w:val="nil"/>
              <w:left w:val="nil"/>
              <w:bottom w:val="single" w:sz="4" w:space="0" w:color="auto"/>
              <w:right w:val="single" w:sz="4" w:space="0" w:color="auto"/>
            </w:tcBorders>
            <w:shd w:val="clear" w:color="auto" w:fill="auto"/>
            <w:noWrap/>
            <w:vAlign w:val="center"/>
          </w:tcPr>
          <w:p w14:paraId="4C46D35E" w14:textId="77777777" w:rsidR="00CF3957" w:rsidRPr="00B76D81" w:rsidRDefault="00CF3957" w:rsidP="001E71E3">
            <w:pPr>
              <w:jc w:val="right"/>
              <w:rPr>
                <w:sz w:val="18"/>
                <w:szCs w:val="18"/>
              </w:rPr>
            </w:pPr>
            <w:r w:rsidRPr="00B76D81">
              <w:rPr>
                <w:sz w:val="18"/>
                <w:szCs w:val="18"/>
              </w:rPr>
              <w:t>276.744.468,41</w:t>
            </w:r>
          </w:p>
        </w:tc>
      </w:tr>
      <w:tr w:rsidR="00CF3957" w:rsidRPr="00B76D81" w14:paraId="741AD5A9" w14:textId="77777777" w:rsidTr="001E71E3">
        <w:trPr>
          <w:trHeight w:val="311"/>
          <w:jc w:val="center"/>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8B6F" w14:textId="77777777" w:rsidR="00CF3957" w:rsidRPr="00B76D81" w:rsidRDefault="00CF3957" w:rsidP="001E71E3">
            <w:pPr>
              <w:rPr>
                <w:b/>
                <w:bCs/>
                <w:sz w:val="18"/>
                <w:szCs w:val="18"/>
              </w:rPr>
            </w:pPr>
          </w:p>
        </w:tc>
        <w:tc>
          <w:tcPr>
            <w:tcW w:w="4009" w:type="dxa"/>
            <w:tcBorders>
              <w:top w:val="single" w:sz="4" w:space="0" w:color="auto"/>
              <w:left w:val="single" w:sz="4" w:space="0" w:color="auto"/>
              <w:bottom w:val="single" w:sz="4" w:space="0" w:color="auto"/>
              <w:right w:val="single" w:sz="4" w:space="0" w:color="auto"/>
            </w:tcBorders>
            <w:shd w:val="clear" w:color="auto" w:fill="auto"/>
            <w:vAlign w:val="center"/>
          </w:tcPr>
          <w:p w14:paraId="4930CD9B" w14:textId="77777777" w:rsidR="00CF3957" w:rsidRPr="00B76D81" w:rsidRDefault="00CF3957" w:rsidP="001E71E3">
            <w:pPr>
              <w:rPr>
                <w:b/>
                <w:bCs/>
                <w:sz w:val="18"/>
                <w:szCs w:val="18"/>
              </w:rPr>
            </w:pPr>
            <w:r w:rsidRPr="00B76D81">
              <w:rPr>
                <w:b/>
                <w:bCs/>
                <w:sz w:val="18"/>
                <w:szCs w:val="18"/>
              </w:rPr>
              <w:t>UKUPNO</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C9A8F" w14:textId="77777777" w:rsidR="00CF3957" w:rsidRPr="00B76D81" w:rsidRDefault="00CF3957" w:rsidP="001E71E3">
            <w:pPr>
              <w:jc w:val="center"/>
              <w:rPr>
                <w:b/>
                <w:bCs/>
                <w:sz w:val="18"/>
                <w:szCs w:val="18"/>
              </w:rPr>
            </w:pPr>
            <w:r w:rsidRPr="00B76D81">
              <w:rPr>
                <w:b/>
                <w:bCs/>
                <w:sz w:val="18"/>
                <w:szCs w:val="18"/>
              </w:rPr>
              <w:t>IBRD</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24554" w14:textId="77777777" w:rsidR="00CF3957" w:rsidRPr="00B76D81" w:rsidRDefault="00CF3957" w:rsidP="001E71E3">
            <w:pPr>
              <w:jc w:val="center"/>
              <w:rPr>
                <w:b/>
                <w:bCs/>
                <w:sz w:val="18"/>
                <w:szCs w:val="18"/>
              </w:rPr>
            </w:pPr>
            <w:r w:rsidRPr="00B76D81">
              <w:rPr>
                <w:b/>
                <w:bCs/>
                <w:sz w:val="18"/>
                <w:szCs w:val="18"/>
              </w:rPr>
              <w:t>EUR</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A7837" w14:textId="77777777" w:rsidR="00CF3957" w:rsidRPr="00B76D81" w:rsidRDefault="00CF3957" w:rsidP="001E71E3">
            <w:pPr>
              <w:jc w:val="right"/>
              <w:rPr>
                <w:b/>
                <w:bCs/>
                <w:sz w:val="18"/>
                <w:szCs w:val="18"/>
              </w:rPr>
            </w:pPr>
            <w:r w:rsidRPr="00B76D81">
              <w:rPr>
                <w:b/>
                <w:bCs/>
                <w:sz w:val="18"/>
                <w:szCs w:val="18"/>
              </w:rPr>
              <w:t>975.646.279,78</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2A182" w14:textId="77777777" w:rsidR="00CF3957" w:rsidRPr="00B76D81" w:rsidRDefault="00CF3957" w:rsidP="001E71E3">
            <w:pPr>
              <w:jc w:val="right"/>
              <w:rPr>
                <w:b/>
                <w:bCs/>
                <w:sz w:val="18"/>
                <w:szCs w:val="18"/>
              </w:rPr>
            </w:pPr>
            <w:r w:rsidRPr="00B76D81">
              <w:rPr>
                <w:b/>
                <w:bCs/>
                <w:sz w:val="18"/>
                <w:szCs w:val="18"/>
              </w:rPr>
              <w:t>7.351.006.895,00</w:t>
            </w:r>
          </w:p>
        </w:tc>
      </w:tr>
      <w:tr w:rsidR="00CF3957" w:rsidRPr="00B76D81" w14:paraId="3EC816A8" w14:textId="77777777" w:rsidTr="001E71E3">
        <w:trPr>
          <w:trHeight w:val="311"/>
          <w:jc w:val="center"/>
        </w:trPr>
        <w:tc>
          <w:tcPr>
            <w:tcW w:w="5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3A1A4" w14:textId="77777777" w:rsidR="00CF3957" w:rsidRPr="00B76D81" w:rsidRDefault="00CF3957" w:rsidP="001E71E3">
            <w:pPr>
              <w:rPr>
                <w:b/>
                <w:bCs/>
                <w:sz w:val="18"/>
                <w:szCs w:val="18"/>
              </w:rPr>
            </w:pPr>
            <w:r w:rsidRPr="00B76D81">
              <w:rPr>
                <w:b/>
                <w:bCs/>
                <w:sz w:val="18"/>
                <w:szCs w:val="18"/>
              </w:rPr>
              <w:t>SVEUKUPNO</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E420" w14:textId="77777777" w:rsidR="00CF3957" w:rsidRPr="00B76D81" w:rsidRDefault="00CF3957" w:rsidP="001E71E3">
            <w:pPr>
              <w:jc w:val="center"/>
              <w:rPr>
                <w:b/>
                <w:bCs/>
                <w:sz w:val="18"/>
                <w:szCs w:val="18"/>
              </w:rPr>
            </w:pPr>
            <w:r w:rsidRPr="00B76D81">
              <w:rPr>
                <w:b/>
                <w:bCs/>
                <w:sz w:val="18"/>
                <w:szCs w:val="18"/>
              </w:rPr>
              <w:t>EUR</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86769" w14:textId="77777777" w:rsidR="00CF3957" w:rsidRPr="00B76D81" w:rsidRDefault="00CF3957" w:rsidP="001E71E3">
            <w:pPr>
              <w:jc w:val="right"/>
              <w:rPr>
                <w:b/>
                <w:bCs/>
                <w:sz w:val="18"/>
                <w:szCs w:val="18"/>
              </w:rPr>
            </w:pPr>
            <w:r w:rsidRPr="00B76D81">
              <w:rPr>
                <w:b/>
                <w:bCs/>
                <w:sz w:val="18"/>
                <w:szCs w:val="18"/>
              </w:rPr>
              <w:t>1.244.969.289,66</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DB12" w14:textId="77777777" w:rsidR="00CF3957" w:rsidRPr="00B76D81" w:rsidRDefault="00CF3957" w:rsidP="001E71E3">
            <w:pPr>
              <w:jc w:val="right"/>
              <w:rPr>
                <w:b/>
                <w:bCs/>
                <w:sz w:val="18"/>
                <w:szCs w:val="18"/>
              </w:rPr>
            </w:pPr>
            <w:r w:rsidRPr="00B76D81">
              <w:rPr>
                <w:b/>
                <w:bCs/>
                <w:sz w:val="18"/>
                <w:szCs w:val="18"/>
              </w:rPr>
              <w:t>9.380.221.112,94</w:t>
            </w:r>
          </w:p>
        </w:tc>
      </w:tr>
    </w:tbl>
    <w:p w14:paraId="1D1A120F" w14:textId="77777777" w:rsidR="00CF3957" w:rsidRPr="00B76D81" w:rsidRDefault="00CF3957" w:rsidP="00CF3957">
      <w:pPr>
        <w:keepNext/>
        <w:jc w:val="both"/>
        <w:rPr>
          <w:b/>
          <w:sz w:val="18"/>
          <w:szCs w:val="18"/>
          <w:highlight w:val="red"/>
        </w:rPr>
      </w:pPr>
    </w:p>
    <w:p w14:paraId="0C3399ED" w14:textId="77777777" w:rsidR="00CF3957" w:rsidRPr="003B30B6" w:rsidRDefault="00CF3957" w:rsidP="00CF3957">
      <w:pPr>
        <w:rPr>
          <w:bCs/>
        </w:rPr>
      </w:pPr>
    </w:p>
    <w:p w14:paraId="32A4CFB9" w14:textId="77777777" w:rsidR="00CF3957" w:rsidRPr="00C2390B" w:rsidRDefault="00CF3957" w:rsidP="00CF3957">
      <w:pPr>
        <w:jc w:val="center"/>
        <w:rPr>
          <w:bCs/>
          <w:sz w:val="28"/>
          <w:szCs w:val="28"/>
        </w:rPr>
      </w:pPr>
      <w:r>
        <w:rPr>
          <w:bCs/>
          <w:sz w:val="28"/>
          <w:szCs w:val="28"/>
        </w:rPr>
        <w:t>Bilješka 28</w:t>
      </w:r>
      <w:r w:rsidRPr="00C2390B">
        <w:rPr>
          <w:bCs/>
          <w:sz w:val="28"/>
          <w:szCs w:val="28"/>
        </w:rPr>
        <w:t xml:space="preserve">. </w:t>
      </w:r>
    </w:p>
    <w:p w14:paraId="77C1AFA4" w14:textId="77777777" w:rsidR="00CF3957" w:rsidRPr="00C2390B" w:rsidRDefault="00CF3957" w:rsidP="00CF3957">
      <w:pPr>
        <w:jc w:val="center"/>
        <w:rPr>
          <w:bCs/>
          <w:sz w:val="28"/>
          <w:szCs w:val="28"/>
        </w:rPr>
      </w:pPr>
      <w:r>
        <w:rPr>
          <w:bCs/>
          <w:sz w:val="28"/>
          <w:szCs w:val="28"/>
        </w:rPr>
        <w:t>Šifra 2614</w:t>
      </w:r>
      <w:r w:rsidRPr="00C2390B">
        <w:rPr>
          <w:bCs/>
          <w:sz w:val="28"/>
          <w:szCs w:val="28"/>
        </w:rPr>
        <w:t xml:space="preserve"> Obveza za kredite i zajmove od institucija i tijela EU</w:t>
      </w:r>
    </w:p>
    <w:p w14:paraId="5C7C12B3" w14:textId="77777777" w:rsidR="00CF3957" w:rsidRDefault="00CF3957" w:rsidP="00CF3957">
      <w:pPr>
        <w:jc w:val="both"/>
        <w:rPr>
          <w:bCs/>
          <w:szCs w:val="28"/>
        </w:rPr>
      </w:pPr>
    </w:p>
    <w:p w14:paraId="1EE63B11" w14:textId="77777777" w:rsidR="00CF3957" w:rsidRDefault="00CF3957" w:rsidP="00CF3957">
      <w:pPr>
        <w:jc w:val="both"/>
        <w:rPr>
          <w:bCs/>
          <w:szCs w:val="28"/>
          <w:highlight w:val="yellow"/>
        </w:rPr>
      </w:pPr>
      <w:r w:rsidRPr="001B0EFA">
        <w:rPr>
          <w:bCs/>
          <w:szCs w:val="28"/>
        </w:rPr>
        <w:lastRenderedPageBreak/>
        <w:t xml:space="preserve">Na dan 31. prosinca 2022. godine stanje obveza u iznosu od 18.113.359.942,55 </w:t>
      </w:r>
      <w:r w:rsidRPr="001B0EFA">
        <w:rPr>
          <w:bCs/>
        </w:rPr>
        <w:t>kune veće je za 44,4% u odnosu na stanje na 31. prosinca 2021. Najznačajniji dio obveza</w:t>
      </w:r>
      <w:r w:rsidRPr="001B0EFA">
        <w:rPr>
          <w:bCs/>
          <w:szCs w:val="28"/>
        </w:rPr>
        <w:t xml:space="preserve"> odnosi se na stanje obveze za zajmove Europske investicijske banke (EIB) i privremene potpore Europske komisije radi smanjenja rizika od nezaposlenosti u izvanrednoj situaciji nakon izbijanja bolesti COVID-19 (SURE) u iznosu od 17.988.513.502,98 </w:t>
      </w:r>
      <w:r w:rsidRPr="001B0EFA">
        <w:rPr>
          <w:bCs/>
        </w:rPr>
        <w:t>kuna</w:t>
      </w:r>
      <w:r>
        <w:rPr>
          <w:bCs/>
          <w:szCs w:val="28"/>
        </w:rPr>
        <w:t>.</w:t>
      </w:r>
    </w:p>
    <w:p w14:paraId="0174AD15" w14:textId="77777777" w:rsidR="00CF3957" w:rsidRPr="00EB3FCB" w:rsidRDefault="00CF3957" w:rsidP="00CF3957">
      <w:pPr>
        <w:jc w:val="both"/>
        <w:rPr>
          <w:bCs/>
          <w:szCs w:val="28"/>
        </w:rPr>
      </w:pPr>
    </w:p>
    <w:p w14:paraId="7420B10E" w14:textId="77777777" w:rsidR="00CF3957" w:rsidRPr="00EB3FCB" w:rsidRDefault="00CF3957" w:rsidP="00CF3957">
      <w:pPr>
        <w:jc w:val="both"/>
        <w:rPr>
          <w:bCs/>
          <w:szCs w:val="28"/>
        </w:rPr>
      </w:pPr>
      <w:r w:rsidRPr="00EB3FCB">
        <w:rPr>
          <w:bCs/>
          <w:szCs w:val="28"/>
        </w:rPr>
        <w:t xml:space="preserve">Ministarstvo financija je korisnik financijskih instrumenata u okviru NPOO koji su namijenjeni kreditiranju mikro, malih i srednjih poslovnih subjekata. U provedbi kreditiranja HBOR je u ulozi posrednika u doznačavanju kredita iz financijskih instrumenata krajnjim primateljima kredita (mikro, malim i srednjim poslovnim subjektima). U 2022. godini Ministarstvo financija isplatilo je HBOR-u sredstva za dodjele kredita po ovoj osnovi. Sukladno </w:t>
      </w:r>
      <w:proofErr w:type="spellStart"/>
      <w:r w:rsidRPr="00EB3FCB">
        <w:rPr>
          <w:bCs/>
          <w:szCs w:val="28"/>
        </w:rPr>
        <w:t>Eurostatovom</w:t>
      </w:r>
      <w:proofErr w:type="spellEnd"/>
      <w:r w:rsidRPr="00EB3FCB">
        <w:rPr>
          <w:bCs/>
          <w:szCs w:val="28"/>
        </w:rPr>
        <w:t xml:space="preserve"> priručniku o državnom deficitu i dugu u dijelu koji regulira postupanja po financijskim instrumentima, korisnik financijskih instrumenata isplaćena sredstva evidentira i kao obavezu prema EU, a ne kao prihod države ako je korisnik tijelo u sustavu opće države. Ministarstvo financija je stoga kao korisnik financijskih instrumenata isplaćen iznos za dodjelu kredita po osnovi financijskih instrumenata evidentiralo kao obvezu prema EU. Prema navedenom Priručniku, obveze po toj osnovi prema tijelima EU smanjuju se u slučaju kada krajnji primatelji ne mogu vratiti zajam odnosno kredit, i u tom se slučaju za taj iznos priznaje prihod od EU. Po ovoj osnovi, stanje obaveza na 31. prosinca 2022. iznosi 124.846.439,57 kuna.</w:t>
      </w:r>
    </w:p>
    <w:p w14:paraId="2535494B" w14:textId="77777777" w:rsidR="00CF3957" w:rsidRDefault="00CF3957" w:rsidP="00CF3957">
      <w:pPr>
        <w:jc w:val="both"/>
        <w:rPr>
          <w:bCs/>
        </w:rPr>
      </w:pPr>
    </w:p>
    <w:p w14:paraId="08499425" w14:textId="77777777" w:rsidR="00CF3957" w:rsidRPr="00C2390B" w:rsidRDefault="00CF3957" w:rsidP="00CF3957">
      <w:pPr>
        <w:jc w:val="both"/>
        <w:rPr>
          <w:bCs/>
          <w:szCs w:val="28"/>
        </w:rPr>
      </w:pPr>
      <w:r>
        <w:rPr>
          <w:bCs/>
          <w:szCs w:val="28"/>
        </w:rPr>
        <w:t>Stanje obveza u i</w:t>
      </w:r>
      <w:r w:rsidRPr="00C2390B">
        <w:rPr>
          <w:bCs/>
          <w:szCs w:val="28"/>
        </w:rPr>
        <w:t>znos</w:t>
      </w:r>
      <w:r>
        <w:rPr>
          <w:bCs/>
          <w:szCs w:val="28"/>
        </w:rPr>
        <w:t>u</w:t>
      </w:r>
      <w:r w:rsidRPr="00C2390B">
        <w:rPr>
          <w:bCs/>
          <w:szCs w:val="28"/>
        </w:rPr>
        <w:t xml:space="preserve"> od</w:t>
      </w:r>
      <w:r>
        <w:rPr>
          <w:bCs/>
          <w:szCs w:val="28"/>
        </w:rPr>
        <w:t xml:space="preserve"> 17.988.513.502,98 </w:t>
      </w:r>
      <w:r w:rsidRPr="00C2390B">
        <w:rPr>
          <w:bCs/>
        </w:rPr>
        <w:t>kun</w:t>
      </w:r>
      <w:r>
        <w:rPr>
          <w:bCs/>
        </w:rPr>
        <w:t>a</w:t>
      </w:r>
      <w:r w:rsidRPr="00C2390B">
        <w:rPr>
          <w:bCs/>
          <w:szCs w:val="28"/>
        </w:rPr>
        <w:t xml:space="preserve"> odnosi se na zajmove EIB</w:t>
      </w:r>
      <w:r>
        <w:rPr>
          <w:bCs/>
          <w:szCs w:val="28"/>
        </w:rPr>
        <w:t xml:space="preserve">, </w:t>
      </w:r>
      <w:r w:rsidRPr="00C2390B">
        <w:rPr>
          <w:bCs/>
          <w:szCs w:val="28"/>
        </w:rPr>
        <w:t>privremen</w:t>
      </w:r>
      <w:r>
        <w:rPr>
          <w:bCs/>
          <w:szCs w:val="28"/>
        </w:rPr>
        <w:t>u</w:t>
      </w:r>
      <w:r w:rsidRPr="00C2390B">
        <w:rPr>
          <w:bCs/>
          <w:szCs w:val="28"/>
        </w:rPr>
        <w:t xml:space="preserve"> potpor</w:t>
      </w:r>
      <w:r>
        <w:rPr>
          <w:bCs/>
          <w:szCs w:val="28"/>
        </w:rPr>
        <w:t>u</w:t>
      </w:r>
      <w:r w:rsidRPr="00C2390B">
        <w:rPr>
          <w:bCs/>
          <w:szCs w:val="28"/>
        </w:rPr>
        <w:t xml:space="preserve"> Europske komisije radi smanjenja rizika od nezaposlenosti u izvanrednoj situaciji nakon izbijanja bolesti COVID-19 (SURE)</w:t>
      </w:r>
      <w:r>
        <w:rPr>
          <w:bCs/>
          <w:szCs w:val="28"/>
        </w:rPr>
        <w:t xml:space="preserve"> te obveze prema EIB za aktivirano jamstvo za Paneuropski jamstveni fond</w:t>
      </w:r>
      <w:r w:rsidRPr="00C2390B">
        <w:rPr>
          <w:bCs/>
          <w:szCs w:val="28"/>
        </w:rPr>
        <w:t>. Analitički prikaz o</w:t>
      </w:r>
      <w:r>
        <w:rPr>
          <w:bCs/>
          <w:szCs w:val="28"/>
        </w:rPr>
        <w:t>vih zajmova daje se u Tablici 15</w:t>
      </w:r>
      <w:r w:rsidRPr="00C2390B">
        <w:rPr>
          <w:bCs/>
          <w:szCs w:val="28"/>
        </w:rPr>
        <w:t xml:space="preserve">. </w:t>
      </w:r>
    </w:p>
    <w:p w14:paraId="09C51760" w14:textId="77777777" w:rsidR="00CF3957" w:rsidRPr="00C2390B" w:rsidRDefault="00CF3957" w:rsidP="00CF3957">
      <w:pPr>
        <w:jc w:val="center"/>
        <w:rPr>
          <w:bCs/>
        </w:rPr>
      </w:pPr>
    </w:p>
    <w:p w14:paraId="691E7FBC" w14:textId="77777777" w:rsidR="00CF3957" w:rsidRPr="00C2390B" w:rsidRDefault="00CF3957" w:rsidP="00CF3957">
      <w:pPr>
        <w:keepNext/>
        <w:jc w:val="both"/>
        <w:rPr>
          <w:b/>
          <w:sz w:val="20"/>
          <w:szCs w:val="20"/>
        </w:rPr>
      </w:pPr>
      <w:r>
        <w:rPr>
          <w:b/>
          <w:sz w:val="20"/>
          <w:szCs w:val="20"/>
        </w:rPr>
        <w:t>Tablica 15</w:t>
      </w:r>
      <w:r w:rsidRPr="00C2390B">
        <w:rPr>
          <w:b/>
          <w:sz w:val="20"/>
          <w:szCs w:val="20"/>
        </w:rPr>
        <w:t xml:space="preserve">. </w:t>
      </w:r>
    </w:p>
    <w:tbl>
      <w:tblPr>
        <w:tblW w:w="9528" w:type="dxa"/>
        <w:jc w:val="center"/>
        <w:tblLook w:val="04A0" w:firstRow="1" w:lastRow="0" w:firstColumn="1" w:lastColumn="0" w:noHBand="0" w:noVBand="1"/>
      </w:tblPr>
      <w:tblGrid>
        <w:gridCol w:w="899"/>
        <w:gridCol w:w="3731"/>
        <w:gridCol w:w="772"/>
        <w:gridCol w:w="794"/>
        <w:gridCol w:w="1616"/>
        <w:gridCol w:w="1716"/>
      </w:tblGrid>
      <w:tr w:rsidR="00CF3957" w:rsidRPr="007F2D4C" w14:paraId="4131B0C4" w14:textId="77777777" w:rsidTr="001E71E3">
        <w:trPr>
          <w:trHeight w:val="672"/>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74289" w14:textId="77777777" w:rsidR="00CF3957" w:rsidRPr="007F2D4C" w:rsidRDefault="00CF3957" w:rsidP="001E71E3">
            <w:pPr>
              <w:jc w:val="center"/>
              <w:rPr>
                <w:b/>
                <w:bCs/>
                <w:sz w:val="20"/>
                <w:szCs w:val="20"/>
              </w:rPr>
            </w:pPr>
            <w:r w:rsidRPr="007F2D4C">
              <w:rPr>
                <w:b/>
                <w:bCs/>
                <w:sz w:val="20"/>
                <w:szCs w:val="20"/>
              </w:rPr>
              <w:t>Red. broj</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6160698B" w14:textId="77777777" w:rsidR="00CF3957" w:rsidRPr="007F2D4C" w:rsidRDefault="00CF3957" w:rsidP="001E71E3">
            <w:pPr>
              <w:jc w:val="center"/>
              <w:rPr>
                <w:b/>
                <w:bCs/>
                <w:sz w:val="20"/>
                <w:szCs w:val="20"/>
              </w:rPr>
            </w:pPr>
            <w:r w:rsidRPr="007F2D4C">
              <w:rPr>
                <w:b/>
                <w:bCs/>
                <w:sz w:val="20"/>
                <w:szCs w:val="20"/>
              </w:rPr>
              <w:t>Namjena</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ABDE94A" w14:textId="77777777" w:rsidR="00CF3957" w:rsidRPr="007F2D4C" w:rsidRDefault="00CF3957" w:rsidP="001E71E3">
            <w:pPr>
              <w:jc w:val="center"/>
              <w:rPr>
                <w:b/>
                <w:bCs/>
                <w:sz w:val="20"/>
                <w:szCs w:val="20"/>
              </w:rPr>
            </w:pPr>
            <w:r w:rsidRPr="007F2D4C">
              <w:rPr>
                <w:b/>
                <w:bCs/>
                <w:sz w:val="20"/>
                <w:szCs w:val="20"/>
              </w:rPr>
              <w:t>Banka</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2AB9605" w14:textId="77777777" w:rsidR="00CF3957" w:rsidRPr="007F2D4C" w:rsidRDefault="00CF3957" w:rsidP="001E71E3">
            <w:pPr>
              <w:jc w:val="center"/>
              <w:rPr>
                <w:b/>
                <w:bCs/>
                <w:sz w:val="20"/>
                <w:szCs w:val="20"/>
              </w:rPr>
            </w:pPr>
            <w:r w:rsidRPr="007F2D4C">
              <w:rPr>
                <w:b/>
                <w:bCs/>
                <w:sz w:val="20"/>
                <w:szCs w:val="20"/>
              </w:rPr>
              <w:t>Valuta</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3BA72B5D" w14:textId="77777777" w:rsidR="00CF3957" w:rsidRPr="007F2D4C" w:rsidRDefault="00CF3957" w:rsidP="001E71E3">
            <w:pPr>
              <w:jc w:val="center"/>
              <w:rPr>
                <w:b/>
                <w:bCs/>
                <w:sz w:val="20"/>
                <w:szCs w:val="20"/>
              </w:rPr>
            </w:pPr>
            <w:r>
              <w:rPr>
                <w:b/>
                <w:bCs/>
                <w:sz w:val="20"/>
                <w:szCs w:val="20"/>
              </w:rPr>
              <w:t>Stanje obveza na dan 31.12.2022</w:t>
            </w:r>
            <w:r w:rsidRPr="007F2D4C">
              <w:rPr>
                <w:b/>
                <w:bCs/>
                <w:sz w:val="20"/>
                <w:szCs w:val="20"/>
              </w:rPr>
              <w:t>.</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173757D8" w14:textId="77777777" w:rsidR="00CF3957" w:rsidRPr="007F2D4C" w:rsidRDefault="00CF3957" w:rsidP="001E71E3">
            <w:pPr>
              <w:jc w:val="center"/>
              <w:rPr>
                <w:b/>
                <w:bCs/>
                <w:sz w:val="20"/>
                <w:szCs w:val="20"/>
              </w:rPr>
            </w:pPr>
            <w:r>
              <w:rPr>
                <w:b/>
                <w:bCs/>
                <w:sz w:val="20"/>
                <w:szCs w:val="20"/>
              </w:rPr>
              <w:t>Stanje obveza na 31.12.2022</w:t>
            </w:r>
            <w:r w:rsidRPr="007F2D4C">
              <w:rPr>
                <w:b/>
                <w:bCs/>
                <w:sz w:val="20"/>
                <w:szCs w:val="20"/>
              </w:rPr>
              <w:t>.              u kunama</w:t>
            </w:r>
          </w:p>
        </w:tc>
      </w:tr>
      <w:tr w:rsidR="00CF3957" w:rsidRPr="007F2D4C" w14:paraId="2817184D" w14:textId="77777777" w:rsidTr="001E71E3">
        <w:trPr>
          <w:trHeight w:val="672"/>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2AFE" w14:textId="77777777" w:rsidR="00CF3957" w:rsidRPr="007F2D4C" w:rsidRDefault="00CF3957" w:rsidP="001E71E3">
            <w:pPr>
              <w:jc w:val="center"/>
              <w:rPr>
                <w:sz w:val="20"/>
                <w:szCs w:val="20"/>
              </w:rPr>
            </w:pPr>
            <w:r w:rsidRPr="007F2D4C">
              <w:rPr>
                <w:sz w:val="20"/>
                <w:szCs w:val="20"/>
              </w:rPr>
              <w:t>1.</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6D19194E" w14:textId="77777777" w:rsidR="00CF3957" w:rsidRPr="007F2D4C" w:rsidRDefault="00CF3957" w:rsidP="001E71E3">
            <w:pPr>
              <w:rPr>
                <w:sz w:val="20"/>
                <w:szCs w:val="20"/>
              </w:rPr>
            </w:pPr>
            <w:proofErr w:type="spellStart"/>
            <w:r w:rsidRPr="007F2D4C">
              <w:rPr>
                <w:sz w:val="20"/>
                <w:szCs w:val="20"/>
              </w:rPr>
              <w:t>FINo</w:t>
            </w:r>
            <w:proofErr w:type="spellEnd"/>
            <w:r w:rsidRPr="007F2D4C">
              <w:rPr>
                <w:sz w:val="20"/>
                <w:szCs w:val="20"/>
              </w:rPr>
              <w:t>. 22.165 - Projekt "Obnove komunalne infrastrukture na područjima od posebne državne skrbi" (5 tranši)</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76ECA6AA" w14:textId="77777777" w:rsidR="00CF3957" w:rsidRPr="007F2D4C" w:rsidRDefault="00CF3957" w:rsidP="001E71E3">
            <w:pPr>
              <w:jc w:val="center"/>
              <w:rPr>
                <w:sz w:val="20"/>
                <w:szCs w:val="20"/>
              </w:rPr>
            </w:pPr>
            <w:r w:rsidRPr="007F2D4C">
              <w:rPr>
                <w:sz w:val="20"/>
                <w:szCs w:val="20"/>
              </w:rPr>
              <w:t>EIB</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FC2C629"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8FD38" w14:textId="77777777" w:rsidR="00CF3957" w:rsidRPr="00B25B03" w:rsidRDefault="00CF3957" w:rsidP="001E71E3">
            <w:pPr>
              <w:jc w:val="right"/>
              <w:rPr>
                <w:sz w:val="20"/>
                <w:szCs w:val="20"/>
              </w:rPr>
            </w:pPr>
            <w:r w:rsidRPr="00B25B03">
              <w:rPr>
                <w:sz w:val="20"/>
                <w:szCs w:val="20"/>
              </w:rPr>
              <w:t>11.635.103,60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1D98" w14:textId="77777777" w:rsidR="00CF3957" w:rsidRPr="00B25B03" w:rsidRDefault="00CF3957" w:rsidP="001E71E3">
            <w:pPr>
              <w:jc w:val="right"/>
              <w:rPr>
                <w:sz w:val="20"/>
                <w:szCs w:val="20"/>
              </w:rPr>
            </w:pPr>
            <w:r w:rsidRPr="00B25B03">
              <w:rPr>
                <w:sz w:val="20"/>
                <w:szCs w:val="20"/>
              </w:rPr>
              <w:t>87.664.688,07</w:t>
            </w:r>
          </w:p>
        </w:tc>
      </w:tr>
      <w:tr w:rsidR="00CF3957" w:rsidRPr="007F2D4C" w14:paraId="3E1A7B10" w14:textId="77777777" w:rsidTr="001E71E3">
        <w:trPr>
          <w:trHeight w:val="672"/>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11C6" w14:textId="77777777" w:rsidR="00CF3957" w:rsidRPr="007F2D4C" w:rsidRDefault="00CF3957" w:rsidP="001E71E3">
            <w:pPr>
              <w:jc w:val="center"/>
              <w:rPr>
                <w:sz w:val="20"/>
                <w:szCs w:val="20"/>
              </w:rPr>
            </w:pPr>
            <w:r w:rsidRPr="007F2D4C">
              <w:rPr>
                <w:sz w:val="20"/>
                <w:szCs w:val="20"/>
              </w:rPr>
              <w:t>2.</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7F129D8F" w14:textId="77777777" w:rsidR="00CF3957" w:rsidRPr="007F2D4C" w:rsidRDefault="00CF3957" w:rsidP="001E71E3">
            <w:pPr>
              <w:rPr>
                <w:sz w:val="20"/>
                <w:szCs w:val="20"/>
              </w:rPr>
            </w:pPr>
            <w:proofErr w:type="spellStart"/>
            <w:r w:rsidRPr="007F2D4C">
              <w:rPr>
                <w:sz w:val="20"/>
                <w:szCs w:val="20"/>
              </w:rPr>
              <w:t>FINo</w:t>
            </w:r>
            <w:proofErr w:type="spellEnd"/>
            <w:r w:rsidRPr="007F2D4C">
              <w:rPr>
                <w:sz w:val="20"/>
                <w:szCs w:val="20"/>
              </w:rPr>
              <w:t>. 22.881 - Okvirni višesektorski zajam za komunalnu infrastrukturu za Projekt - "Integralni razvoj lokalne zajednice" (6 tranši)</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083385D7" w14:textId="77777777" w:rsidR="00CF3957" w:rsidRPr="007F2D4C" w:rsidRDefault="00CF3957" w:rsidP="001E71E3">
            <w:pPr>
              <w:jc w:val="center"/>
              <w:rPr>
                <w:sz w:val="20"/>
                <w:szCs w:val="20"/>
              </w:rPr>
            </w:pPr>
            <w:r w:rsidRPr="007F2D4C">
              <w:rPr>
                <w:sz w:val="20"/>
                <w:szCs w:val="20"/>
              </w:rPr>
              <w:t>EIB</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BA24B91"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D7EF" w14:textId="77777777" w:rsidR="00CF3957" w:rsidRPr="00B25B03" w:rsidRDefault="00CF3957" w:rsidP="001E71E3">
            <w:pPr>
              <w:jc w:val="right"/>
              <w:rPr>
                <w:sz w:val="20"/>
                <w:szCs w:val="20"/>
              </w:rPr>
            </w:pPr>
            <w:r w:rsidRPr="00B25B03">
              <w:rPr>
                <w:sz w:val="20"/>
                <w:szCs w:val="20"/>
              </w:rPr>
              <w:t>47.433.333,50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D8FF" w14:textId="77777777" w:rsidR="00CF3957" w:rsidRPr="00B25B03" w:rsidRDefault="00CF3957" w:rsidP="001E71E3">
            <w:pPr>
              <w:jc w:val="right"/>
              <w:rPr>
                <w:sz w:val="20"/>
                <w:szCs w:val="20"/>
              </w:rPr>
            </w:pPr>
            <w:r w:rsidRPr="00B25B03">
              <w:rPr>
                <w:sz w:val="20"/>
                <w:szCs w:val="20"/>
              </w:rPr>
              <w:t>357.386.451,26</w:t>
            </w:r>
          </w:p>
        </w:tc>
      </w:tr>
      <w:tr w:rsidR="00CF3957" w:rsidRPr="007F2D4C" w14:paraId="6D451C53" w14:textId="77777777" w:rsidTr="001E71E3">
        <w:trPr>
          <w:trHeight w:val="446"/>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FF925" w14:textId="77777777" w:rsidR="00CF3957" w:rsidRPr="007F2D4C" w:rsidRDefault="00CF3957" w:rsidP="001E71E3">
            <w:pPr>
              <w:jc w:val="center"/>
              <w:rPr>
                <w:sz w:val="20"/>
                <w:szCs w:val="20"/>
              </w:rPr>
            </w:pPr>
            <w:r w:rsidRPr="007F2D4C">
              <w:rPr>
                <w:sz w:val="20"/>
                <w:szCs w:val="20"/>
              </w:rPr>
              <w:t>3.</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4935BC3C" w14:textId="77777777" w:rsidR="00CF3957" w:rsidRPr="007F2D4C" w:rsidRDefault="00CF3957" w:rsidP="001E71E3">
            <w:pPr>
              <w:rPr>
                <w:sz w:val="20"/>
                <w:szCs w:val="20"/>
              </w:rPr>
            </w:pPr>
            <w:proofErr w:type="spellStart"/>
            <w:r w:rsidRPr="007F2D4C">
              <w:rPr>
                <w:sz w:val="20"/>
                <w:szCs w:val="20"/>
              </w:rPr>
              <w:t>FINo</w:t>
            </w:r>
            <w:proofErr w:type="spellEnd"/>
            <w:r w:rsidRPr="007F2D4C">
              <w:rPr>
                <w:sz w:val="20"/>
                <w:szCs w:val="20"/>
              </w:rPr>
              <w:t>. 25.749 - Projekt sufinanciranja EU IPA ISPA 2007-2011. (5 tranši)</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2D8321B0" w14:textId="77777777" w:rsidR="00CF3957" w:rsidRPr="007F2D4C" w:rsidRDefault="00CF3957" w:rsidP="001E71E3">
            <w:pPr>
              <w:jc w:val="center"/>
              <w:rPr>
                <w:sz w:val="20"/>
                <w:szCs w:val="20"/>
              </w:rPr>
            </w:pPr>
            <w:r w:rsidRPr="007F2D4C">
              <w:rPr>
                <w:sz w:val="20"/>
                <w:szCs w:val="20"/>
              </w:rPr>
              <w:t>EIB</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AB03940"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1DB2" w14:textId="77777777" w:rsidR="00CF3957" w:rsidRPr="00B25B03" w:rsidRDefault="00CF3957" w:rsidP="001E71E3">
            <w:pPr>
              <w:jc w:val="right"/>
              <w:rPr>
                <w:sz w:val="20"/>
                <w:szCs w:val="20"/>
              </w:rPr>
            </w:pPr>
            <w:r w:rsidRPr="00B25B03">
              <w:rPr>
                <w:sz w:val="20"/>
                <w:szCs w:val="20"/>
              </w:rPr>
              <w:t>152.093.040,58</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2083" w14:textId="77777777" w:rsidR="00CF3957" w:rsidRPr="00B25B03" w:rsidRDefault="00CF3957" w:rsidP="001E71E3">
            <w:pPr>
              <w:jc w:val="right"/>
              <w:rPr>
                <w:sz w:val="20"/>
                <w:szCs w:val="20"/>
              </w:rPr>
            </w:pPr>
            <w:r w:rsidRPr="00B25B03">
              <w:rPr>
                <w:sz w:val="20"/>
                <w:szCs w:val="20"/>
              </w:rPr>
              <w:t>1.145.945.014,25</w:t>
            </w:r>
          </w:p>
        </w:tc>
      </w:tr>
      <w:tr w:rsidR="00CF3957" w:rsidRPr="007F2D4C" w14:paraId="1533A0BA" w14:textId="77777777" w:rsidTr="001E71E3">
        <w:trPr>
          <w:trHeight w:val="446"/>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9B16" w14:textId="77777777" w:rsidR="00CF3957" w:rsidRPr="007F2D4C" w:rsidRDefault="00CF3957" w:rsidP="001E71E3">
            <w:pPr>
              <w:jc w:val="center"/>
              <w:rPr>
                <w:sz w:val="20"/>
                <w:szCs w:val="20"/>
              </w:rPr>
            </w:pPr>
            <w:r w:rsidRPr="007F2D4C">
              <w:rPr>
                <w:sz w:val="20"/>
                <w:szCs w:val="20"/>
              </w:rPr>
              <w:t>4.</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6EB64314" w14:textId="77777777" w:rsidR="00CF3957" w:rsidRPr="007F2D4C" w:rsidRDefault="00CF3957" w:rsidP="001E71E3">
            <w:pPr>
              <w:rPr>
                <w:sz w:val="20"/>
                <w:szCs w:val="20"/>
              </w:rPr>
            </w:pPr>
            <w:proofErr w:type="spellStart"/>
            <w:r w:rsidRPr="007F2D4C">
              <w:rPr>
                <w:sz w:val="20"/>
                <w:szCs w:val="20"/>
              </w:rPr>
              <w:t>FINo</w:t>
            </w:r>
            <w:proofErr w:type="spellEnd"/>
            <w:r w:rsidRPr="007F2D4C">
              <w:rPr>
                <w:sz w:val="20"/>
                <w:szCs w:val="20"/>
              </w:rPr>
              <w:t>. 31.146 - Projekt razvoja infrastrukture na otocima i u priobalju (1 tranša)</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613836EC" w14:textId="77777777" w:rsidR="00CF3957" w:rsidRPr="007F2D4C" w:rsidRDefault="00CF3957" w:rsidP="001E71E3">
            <w:pPr>
              <w:jc w:val="center"/>
              <w:rPr>
                <w:sz w:val="20"/>
                <w:szCs w:val="20"/>
              </w:rPr>
            </w:pPr>
            <w:r w:rsidRPr="007F2D4C">
              <w:rPr>
                <w:sz w:val="20"/>
                <w:szCs w:val="20"/>
              </w:rPr>
              <w:t>EIB</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49FE1DD"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8A4DD" w14:textId="77777777" w:rsidR="00CF3957" w:rsidRPr="00B25B03" w:rsidRDefault="00CF3957" w:rsidP="001E71E3">
            <w:pPr>
              <w:jc w:val="right"/>
              <w:rPr>
                <w:sz w:val="20"/>
                <w:szCs w:val="20"/>
              </w:rPr>
            </w:pPr>
            <w:r w:rsidRPr="00B25B03">
              <w:rPr>
                <w:sz w:val="20"/>
                <w:szCs w:val="20"/>
              </w:rPr>
              <w:t>5.133.333,36</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99A5D" w14:textId="77777777" w:rsidR="00CF3957" w:rsidRPr="00B25B03" w:rsidRDefault="00CF3957" w:rsidP="001E71E3">
            <w:pPr>
              <w:jc w:val="right"/>
              <w:rPr>
                <w:sz w:val="20"/>
                <w:szCs w:val="20"/>
              </w:rPr>
            </w:pPr>
            <w:r w:rsidRPr="00B25B03">
              <w:rPr>
                <w:sz w:val="20"/>
                <w:szCs w:val="20"/>
              </w:rPr>
              <w:t>38.677.100,20</w:t>
            </w:r>
          </w:p>
        </w:tc>
      </w:tr>
      <w:tr w:rsidR="00CF3957" w:rsidRPr="007F2D4C" w14:paraId="485B20E0" w14:textId="77777777" w:rsidTr="001E71E3">
        <w:trPr>
          <w:trHeight w:val="446"/>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C939" w14:textId="77777777" w:rsidR="00CF3957" w:rsidRPr="007F2D4C" w:rsidRDefault="00CF3957" w:rsidP="001E71E3">
            <w:pPr>
              <w:jc w:val="center"/>
              <w:rPr>
                <w:sz w:val="20"/>
                <w:szCs w:val="20"/>
              </w:rPr>
            </w:pPr>
            <w:r w:rsidRPr="007F2D4C">
              <w:rPr>
                <w:sz w:val="20"/>
                <w:szCs w:val="20"/>
              </w:rPr>
              <w:t>5.</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24997EC1" w14:textId="77777777" w:rsidR="00CF3957" w:rsidRPr="007F2D4C" w:rsidRDefault="00CF3957" w:rsidP="001E71E3">
            <w:pPr>
              <w:rPr>
                <w:sz w:val="20"/>
                <w:szCs w:val="20"/>
              </w:rPr>
            </w:pPr>
            <w:proofErr w:type="spellStart"/>
            <w:r w:rsidRPr="007F2D4C">
              <w:rPr>
                <w:sz w:val="20"/>
                <w:szCs w:val="20"/>
              </w:rPr>
              <w:t>FINo</w:t>
            </w:r>
            <w:proofErr w:type="spellEnd"/>
            <w:r w:rsidRPr="007F2D4C">
              <w:rPr>
                <w:sz w:val="20"/>
                <w:szCs w:val="20"/>
              </w:rPr>
              <w:t>. 31.176 - Projekt "Financiranje vo</w:t>
            </w:r>
            <w:r>
              <w:rPr>
                <w:sz w:val="20"/>
                <w:szCs w:val="20"/>
              </w:rPr>
              <w:t>dno-komunalne infrastrukture" (3</w:t>
            </w:r>
            <w:r w:rsidRPr="007F2D4C">
              <w:rPr>
                <w:sz w:val="20"/>
                <w:szCs w:val="20"/>
              </w:rPr>
              <w:t xml:space="preserve"> tranše)</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2FA06D15" w14:textId="77777777" w:rsidR="00CF3957" w:rsidRPr="007F2D4C" w:rsidRDefault="00CF3957" w:rsidP="001E71E3">
            <w:pPr>
              <w:jc w:val="center"/>
              <w:rPr>
                <w:sz w:val="20"/>
                <w:szCs w:val="20"/>
              </w:rPr>
            </w:pPr>
            <w:r w:rsidRPr="007F2D4C">
              <w:rPr>
                <w:sz w:val="20"/>
                <w:szCs w:val="20"/>
              </w:rPr>
              <w:t>EIB</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8859698"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F287F" w14:textId="77777777" w:rsidR="00CF3957" w:rsidRPr="00B25B03" w:rsidRDefault="00CF3957" w:rsidP="001E71E3">
            <w:pPr>
              <w:jc w:val="right"/>
              <w:rPr>
                <w:sz w:val="20"/>
                <w:szCs w:val="20"/>
              </w:rPr>
            </w:pPr>
            <w:r w:rsidRPr="00B25B03">
              <w:rPr>
                <w:sz w:val="20"/>
                <w:szCs w:val="20"/>
              </w:rPr>
              <w:t>15.331.191,17</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83D4" w14:textId="77777777" w:rsidR="00CF3957" w:rsidRPr="00B25B03" w:rsidRDefault="00CF3957" w:rsidP="001E71E3">
            <w:pPr>
              <w:jc w:val="right"/>
              <w:rPr>
                <w:sz w:val="20"/>
                <w:szCs w:val="20"/>
              </w:rPr>
            </w:pPr>
            <w:r w:rsidRPr="00B25B03">
              <w:rPr>
                <w:sz w:val="20"/>
                <w:szCs w:val="20"/>
              </w:rPr>
              <w:t>115.512.859,87</w:t>
            </w:r>
          </w:p>
        </w:tc>
      </w:tr>
      <w:tr w:rsidR="00CF3957" w:rsidRPr="007F2D4C" w14:paraId="5D05E245" w14:textId="77777777" w:rsidTr="001E71E3">
        <w:trPr>
          <w:trHeight w:val="672"/>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90870" w14:textId="77777777" w:rsidR="00CF3957" w:rsidRPr="007F2D4C" w:rsidRDefault="00CF3957" w:rsidP="001E71E3">
            <w:pPr>
              <w:jc w:val="center"/>
              <w:rPr>
                <w:sz w:val="20"/>
                <w:szCs w:val="20"/>
              </w:rPr>
            </w:pPr>
            <w:r w:rsidRPr="007F2D4C">
              <w:rPr>
                <w:sz w:val="20"/>
                <w:szCs w:val="20"/>
              </w:rPr>
              <w:t>6.</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5495B370" w14:textId="77777777" w:rsidR="00CF3957" w:rsidRPr="007F2D4C" w:rsidRDefault="00CF3957" w:rsidP="001E71E3">
            <w:pPr>
              <w:rPr>
                <w:sz w:val="20"/>
                <w:szCs w:val="20"/>
              </w:rPr>
            </w:pPr>
            <w:proofErr w:type="spellStart"/>
            <w:r w:rsidRPr="007F2D4C">
              <w:rPr>
                <w:sz w:val="20"/>
                <w:szCs w:val="20"/>
              </w:rPr>
              <w:t>FINo</w:t>
            </w:r>
            <w:proofErr w:type="spellEnd"/>
            <w:r w:rsidRPr="007F2D4C">
              <w:rPr>
                <w:sz w:val="20"/>
                <w:szCs w:val="20"/>
              </w:rPr>
              <w:t>. 84.395 - Projekt nacionalnog sufinanciranja EU fondova u razdoblju od 2014. - 2020. godine (2 tranše)</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0E11A82E" w14:textId="77777777" w:rsidR="00CF3957" w:rsidRPr="007F2D4C" w:rsidRDefault="00CF3957" w:rsidP="001E71E3">
            <w:pPr>
              <w:jc w:val="center"/>
              <w:rPr>
                <w:sz w:val="20"/>
                <w:szCs w:val="20"/>
              </w:rPr>
            </w:pPr>
            <w:r w:rsidRPr="007F2D4C">
              <w:rPr>
                <w:sz w:val="20"/>
                <w:szCs w:val="20"/>
              </w:rPr>
              <w:t>EIB</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66DB40B"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0E0D6" w14:textId="77777777" w:rsidR="00CF3957" w:rsidRPr="00B25B03" w:rsidRDefault="00CF3957" w:rsidP="001E71E3">
            <w:pPr>
              <w:jc w:val="right"/>
              <w:rPr>
                <w:sz w:val="20"/>
                <w:szCs w:val="20"/>
              </w:rPr>
            </w:pPr>
            <w:r w:rsidRPr="00B25B03">
              <w:rPr>
                <w:sz w:val="20"/>
                <w:szCs w:val="20"/>
              </w:rPr>
              <w:t>285.750.000,00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5F96" w14:textId="77777777" w:rsidR="00CF3957" w:rsidRPr="00B25B03" w:rsidRDefault="00CF3957" w:rsidP="001E71E3">
            <w:pPr>
              <w:jc w:val="right"/>
              <w:rPr>
                <w:sz w:val="20"/>
                <w:szCs w:val="20"/>
              </w:rPr>
            </w:pPr>
            <w:r w:rsidRPr="00B25B03">
              <w:rPr>
                <w:sz w:val="20"/>
                <w:szCs w:val="20"/>
              </w:rPr>
              <w:t>2.152.983.375,00</w:t>
            </w:r>
          </w:p>
        </w:tc>
      </w:tr>
      <w:tr w:rsidR="00CF3957" w:rsidRPr="007F2D4C" w14:paraId="5F4EB127" w14:textId="77777777" w:rsidTr="001E71E3">
        <w:trPr>
          <w:trHeight w:val="685"/>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656AB" w14:textId="77777777" w:rsidR="00CF3957" w:rsidRPr="007F2D4C" w:rsidRDefault="00CF3957" w:rsidP="001E71E3">
            <w:pPr>
              <w:jc w:val="center"/>
              <w:rPr>
                <w:sz w:val="20"/>
                <w:szCs w:val="20"/>
              </w:rPr>
            </w:pPr>
            <w:r w:rsidRPr="007F2D4C">
              <w:rPr>
                <w:sz w:val="20"/>
                <w:szCs w:val="20"/>
              </w:rPr>
              <w:t>7.</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64F7C3A6" w14:textId="77777777" w:rsidR="00CF3957" w:rsidRPr="007F2D4C" w:rsidRDefault="00CF3957" w:rsidP="001E71E3">
            <w:pPr>
              <w:rPr>
                <w:sz w:val="20"/>
                <w:szCs w:val="20"/>
              </w:rPr>
            </w:pPr>
            <w:proofErr w:type="spellStart"/>
            <w:r w:rsidRPr="007F2D4C">
              <w:rPr>
                <w:sz w:val="20"/>
                <w:szCs w:val="20"/>
              </w:rPr>
              <w:t>FINo</w:t>
            </w:r>
            <w:proofErr w:type="spellEnd"/>
            <w:r w:rsidRPr="007F2D4C">
              <w:rPr>
                <w:sz w:val="20"/>
                <w:szCs w:val="20"/>
              </w:rPr>
              <w:t>. 89.118 - Projekt nacionalnog sufinanciranja EU fondova u razdoblj</w:t>
            </w:r>
            <w:r>
              <w:rPr>
                <w:sz w:val="20"/>
                <w:szCs w:val="20"/>
              </w:rPr>
              <w:t>u od 2014. - 2020. godine / B (2 tranše</w:t>
            </w:r>
            <w:r w:rsidRPr="007F2D4C">
              <w:rPr>
                <w:sz w:val="20"/>
                <w:szCs w:val="20"/>
              </w:rPr>
              <w:t>)</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101995DE" w14:textId="77777777" w:rsidR="00CF3957" w:rsidRPr="007F2D4C" w:rsidRDefault="00CF3957" w:rsidP="001E71E3">
            <w:pPr>
              <w:jc w:val="center"/>
              <w:rPr>
                <w:sz w:val="20"/>
                <w:szCs w:val="20"/>
              </w:rPr>
            </w:pPr>
            <w:r w:rsidRPr="007F2D4C">
              <w:rPr>
                <w:sz w:val="20"/>
                <w:szCs w:val="20"/>
              </w:rPr>
              <w:t>EIB</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09721F7"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EE30A" w14:textId="77777777" w:rsidR="00CF3957" w:rsidRPr="00B25B03" w:rsidRDefault="00CF3957" w:rsidP="001E71E3">
            <w:pPr>
              <w:jc w:val="right"/>
              <w:rPr>
                <w:sz w:val="20"/>
                <w:szCs w:val="20"/>
              </w:rPr>
            </w:pPr>
            <w:r w:rsidRPr="00B25B03">
              <w:rPr>
                <w:sz w:val="20"/>
                <w:szCs w:val="20"/>
              </w:rPr>
              <w:t>300.000.000,00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8B619" w14:textId="77777777" w:rsidR="00CF3957" w:rsidRPr="00B25B03" w:rsidRDefault="00CF3957" w:rsidP="001E71E3">
            <w:pPr>
              <w:jc w:val="right"/>
              <w:rPr>
                <w:sz w:val="20"/>
                <w:szCs w:val="20"/>
              </w:rPr>
            </w:pPr>
            <w:r w:rsidRPr="00B25B03">
              <w:rPr>
                <w:sz w:val="20"/>
                <w:szCs w:val="20"/>
              </w:rPr>
              <w:t>2.260.350.000,00</w:t>
            </w:r>
          </w:p>
        </w:tc>
      </w:tr>
      <w:tr w:rsidR="00CF3957" w:rsidRPr="007F2D4C" w14:paraId="21CE4136" w14:textId="77777777" w:rsidTr="001E71E3">
        <w:trPr>
          <w:trHeight w:val="276"/>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F02D3" w14:textId="77777777" w:rsidR="00CF3957" w:rsidRPr="007F2D4C" w:rsidRDefault="00CF3957" w:rsidP="001E71E3">
            <w:pPr>
              <w:rPr>
                <w:b/>
                <w:bCs/>
                <w:sz w:val="20"/>
                <w:szCs w:val="20"/>
              </w:rPr>
            </w:pP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tcPr>
          <w:p w14:paraId="344C5ACE" w14:textId="77777777" w:rsidR="00CF3957" w:rsidRPr="007F2D4C" w:rsidRDefault="00CF3957" w:rsidP="001E71E3">
            <w:pPr>
              <w:rPr>
                <w:b/>
                <w:bCs/>
                <w:sz w:val="20"/>
                <w:szCs w:val="20"/>
              </w:rPr>
            </w:pPr>
            <w:r w:rsidRPr="007F2D4C">
              <w:rPr>
                <w:b/>
                <w:bCs/>
                <w:sz w:val="20"/>
                <w:szCs w:val="20"/>
              </w:rPr>
              <w:t>UKUPNO</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457DE" w14:textId="77777777" w:rsidR="00CF3957" w:rsidRPr="007F2D4C" w:rsidRDefault="00CF3957" w:rsidP="001E71E3">
            <w:pPr>
              <w:jc w:val="center"/>
              <w:rPr>
                <w:b/>
                <w:bCs/>
                <w:sz w:val="20"/>
                <w:szCs w:val="20"/>
              </w:rPr>
            </w:pPr>
            <w:r w:rsidRPr="007F2D4C">
              <w:rPr>
                <w:b/>
                <w:bCs/>
                <w:sz w:val="20"/>
                <w:szCs w:val="20"/>
              </w:rPr>
              <w:t>EIB</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C0FC" w14:textId="77777777" w:rsidR="00CF3957" w:rsidRPr="007F2D4C" w:rsidRDefault="00CF3957" w:rsidP="001E71E3">
            <w:pPr>
              <w:jc w:val="center"/>
              <w:rPr>
                <w:b/>
                <w:bCs/>
                <w:sz w:val="20"/>
                <w:szCs w:val="20"/>
              </w:rPr>
            </w:pPr>
            <w:r w:rsidRPr="007F2D4C">
              <w:rPr>
                <w:b/>
                <w:bCs/>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73539" w14:textId="77777777" w:rsidR="00CF3957" w:rsidRPr="00B25B03" w:rsidRDefault="00CF3957" w:rsidP="001E71E3">
            <w:pPr>
              <w:jc w:val="right"/>
              <w:rPr>
                <w:b/>
                <w:bCs/>
                <w:sz w:val="20"/>
                <w:szCs w:val="20"/>
              </w:rPr>
            </w:pPr>
            <w:r w:rsidRPr="00B25B03">
              <w:rPr>
                <w:b/>
                <w:bCs/>
                <w:sz w:val="20"/>
                <w:szCs w:val="20"/>
              </w:rPr>
              <w:t>817.376.002,21</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B5F5" w14:textId="77777777" w:rsidR="00CF3957" w:rsidRPr="00B25B03" w:rsidRDefault="00CF3957" w:rsidP="001E71E3">
            <w:pPr>
              <w:jc w:val="right"/>
              <w:rPr>
                <w:b/>
                <w:bCs/>
                <w:sz w:val="20"/>
                <w:szCs w:val="20"/>
              </w:rPr>
            </w:pPr>
            <w:r w:rsidRPr="00B25B03">
              <w:rPr>
                <w:b/>
                <w:bCs/>
                <w:sz w:val="20"/>
                <w:szCs w:val="20"/>
              </w:rPr>
              <w:t>6.158.519.488,65</w:t>
            </w:r>
          </w:p>
        </w:tc>
      </w:tr>
      <w:tr w:rsidR="00CF3957" w:rsidRPr="007F2D4C" w14:paraId="30228638" w14:textId="77777777" w:rsidTr="001E71E3">
        <w:trPr>
          <w:trHeight w:val="672"/>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79DB" w14:textId="77777777" w:rsidR="00CF3957" w:rsidRPr="007F2D4C" w:rsidRDefault="00CF3957" w:rsidP="001E71E3">
            <w:pPr>
              <w:jc w:val="center"/>
              <w:rPr>
                <w:sz w:val="20"/>
                <w:szCs w:val="20"/>
              </w:rPr>
            </w:pPr>
            <w:r w:rsidRPr="007F2D4C">
              <w:rPr>
                <w:sz w:val="20"/>
                <w:szCs w:val="20"/>
              </w:rPr>
              <w:t>8.</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5A5773BD" w14:textId="77777777" w:rsidR="00CF3957" w:rsidRPr="007F2D4C" w:rsidRDefault="00CF3957" w:rsidP="001E71E3">
            <w:pPr>
              <w:rPr>
                <w:sz w:val="20"/>
                <w:szCs w:val="20"/>
              </w:rPr>
            </w:pPr>
            <w:r w:rsidRPr="007F2D4C">
              <w:rPr>
                <w:sz w:val="20"/>
                <w:szCs w:val="20"/>
              </w:rPr>
              <w:t>Privremena potpora radi smanjenja rizika od nezaposlenosti u izvanrednoj situaciji nakon izbijanja bolesti COVID-19 (SURE) - I. tranša</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680007CE" w14:textId="77777777" w:rsidR="00CF3957" w:rsidRPr="007F2D4C" w:rsidRDefault="00CF3957" w:rsidP="001E71E3">
            <w:pPr>
              <w:jc w:val="center"/>
              <w:rPr>
                <w:sz w:val="20"/>
                <w:szCs w:val="20"/>
              </w:rPr>
            </w:pPr>
            <w:r w:rsidRPr="007F2D4C">
              <w:rPr>
                <w:sz w:val="20"/>
                <w:szCs w:val="20"/>
              </w:rPr>
              <w:t>EK</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4384F96"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5F5220F5" w14:textId="77777777" w:rsidR="00CF3957" w:rsidRPr="007F2D4C" w:rsidRDefault="00CF3957" w:rsidP="001E71E3">
            <w:pPr>
              <w:jc w:val="right"/>
              <w:rPr>
                <w:sz w:val="20"/>
                <w:szCs w:val="20"/>
              </w:rPr>
            </w:pPr>
            <w:r w:rsidRPr="007F2D4C">
              <w:rPr>
                <w:sz w:val="20"/>
                <w:szCs w:val="20"/>
              </w:rPr>
              <w:t>340.000.000,00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2D52" w14:textId="77777777" w:rsidR="00CF3957" w:rsidRPr="00B25B03" w:rsidRDefault="00CF3957" w:rsidP="001E71E3">
            <w:pPr>
              <w:jc w:val="right"/>
              <w:rPr>
                <w:sz w:val="20"/>
                <w:szCs w:val="20"/>
              </w:rPr>
            </w:pPr>
            <w:r w:rsidRPr="00B25B03">
              <w:rPr>
                <w:sz w:val="20"/>
                <w:szCs w:val="20"/>
              </w:rPr>
              <w:t>2.561.730.000,00</w:t>
            </w:r>
          </w:p>
        </w:tc>
      </w:tr>
      <w:tr w:rsidR="00CF3957" w:rsidRPr="007F2D4C" w14:paraId="0DA54BEE" w14:textId="77777777" w:rsidTr="001E71E3">
        <w:trPr>
          <w:trHeight w:val="672"/>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3EDAF" w14:textId="77777777" w:rsidR="00CF3957" w:rsidRPr="007F2D4C" w:rsidRDefault="00CF3957" w:rsidP="001E71E3">
            <w:pPr>
              <w:jc w:val="center"/>
              <w:rPr>
                <w:sz w:val="20"/>
                <w:szCs w:val="20"/>
              </w:rPr>
            </w:pPr>
            <w:r w:rsidRPr="007F2D4C">
              <w:rPr>
                <w:sz w:val="20"/>
                <w:szCs w:val="20"/>
              </w:rPr>
              <w:lastRenderedPageBreak/>
              <w:t>9.</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5B421628" w14:textId="77777777" w:rsidR="00CF3957" w:rsidRPr="007F2D4C" w:rsidRDefault="00CF3957" w:rsidP="001E71E3">
            <w:pPr>
              <w:rPr>
                <w:sz w:val="20"/>
                <w:szCs w:val="20"/>
              </w:rPr>
            </w:pPr>
            <w:r w:rsidRPr="007F2D4C">
              <w:rPr>
                <w:sz w:val="20"/>
                <w:szCs w:val="20"/>
              </w:rPr>
              <w:t>Privremena potpora radi smanjenja rizika od nezaposlenosti u izvanrednoj situaciji nakon izbijanja bolesti COVID-19 (SURE) - II. tranša</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1158F698" w14:textId="77777777" w:rsidR="00CF3957" w:rsidRPr="007F2D4C" w:rsidRDefault="00CF3957" w:rsidP="001E71E3">
            <w:pPr>
              <w:jc w:val="center"/>
              <w:rPr>
                <w:sz w:val="20"/>
                <w:szCs w:val="20"/>
              </w:rPr>
            </w:pPr>
            <w:r w:rsidRPr="007F2D4C">
              <w:rPr>
                <w:sz w:val="20"/>
                <w:szCs w:val="20"/>
              </w:rPr>
              <w:t>EK</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CF8D493"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10FFDD74" w14:textId="77777777" w:rsidR="00CF3957" w:rsidRPr="007F2D4C" w:rsidRDefault="00CF3957" w:rsidP="001E71E3">
            <w:pPr>
              <w:jc w:val="right"/>
              <w:rPr>
                <w:sz w:val="20"/>
                <w:szCs w:val="20"/>
              </w:rPr>
            </w:pPr>
            <w:r w:rsidRPr="007F2D4C">
              <w:rPr>
                <w:sz w:val="20"/>
                <w:szCs w:val="20"/>
              </w:rPr>
              <w:t>170.000.000,00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F5AA5" w14:textId="77777777" w:rsidR="00CF3957" w:rsidRPr="00B25B03" w:rsidRDefault="00CF3957" w:rsidP="001E71E3">
            <w:pPr>
              <w:jc w:val="right"/>
              <w:rPr>
                <w:sz w:val="20"/>
                <w:szCs w:val="20"/>
              </w:rPr>
            </w:pPr>
            <w:r w:rsidRPr="00B25B03">
              <w:rPr>
                <w:sz w:val="20"/>
                <w:szCs w:val="20"/>
              </w:rPr>
              <w:t>1.280.865.000,00</w:t>
            </w:r>
          </w:p>
        </w:tc>
      </w:tr>
      <w:tr w:rsidR="00CF3957" w:rsidRPr="007F2D4C" w14:paraId="700D0281" w14:textId="77777777" w:rsidTr="001E71E3">
        <w:trPr>
          <w:trHeight w:val="685"/>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90BA" w14:textId="77777777" w:rsidR="00CF3957" w:rsidRPr="007F2D4C" w:rsidRDefault="00CF3957" w:rsidP="001E71E3">
            <w:pPr>
              <w:jc w:val="center"/>
              <w:rPr>
                <w:sz w:val="20"/>
                <w:szCs w:val="20"/>
              </w:rPr>
            </w:pPr>
            <w:r w:rsidRPr="007F2D4C">
              <w:rPr>
                <w:sz w:val="20"/>
                <w:szCs w:val="20"/>
              </w:rPr>
              <w:t>10.</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5BE2E9F0" w14:textId="77777777" w:rsidR="00CF3957" w:rsidRPr="007F2D4C" w:rsidRDefault="00CF3957" w:rsidP="001E71E3">
            <w:pPr>
              <w:rPr>
                <w:sz w:val="20"/>
                <w:szCs w:val="20"/>
              </w:rPr>
            </w:pPr>
            <w:r w:rsidRPr="007F2D4C">
              <w:rPr>
                <w:sz w:val="20"/>
                <w:szCs w:val="20"/>
              </w:rPr>
              <w:t>Privremena potpora radi smanjenja rizika od nezaposlenosti u izvanrednoj situaciji nakon izbijanja bolesti COVID-19 (SURE) - III. tranša</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2B358923" w14:textId="77777777" w:rsidR="00CF3957" w:rsidRPr="007F2D4C" w:rsidRDefault="00CF3957" w:rsidP="001E71E3">
            <w:pPr>
              <w:jc w:val="center"/>
              <w:rPr>
                <w:sz w:val="20"/>
                <w:szCs w:val="20"/>
              </w:rPr>
            </w:pPr>
            <w:r w:rsidRPr="007F2D4C">
              <w:rPr>
                <w:sz w:val="20"/>
                <w:szCs w:val="20"/>
              </w:rPr>
              <w:t>EK</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FDABB3D"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454DDD7D" w14:textId="77777777" w:rsidR="00CF3957" w:rsidRPr="007F2D4C" w:rsidRDefault="00CF3957" w:rsidP="001E71E3">
            <w:pPr>
              <w:jc w:val="right"/>
              <w:rPr>
                <w:sz w:val="20"/>
                <w:szCs w:val="20"/>
              </w:rPr>
            </w:pPr>
            <w:r w:rsidRPr="007F2D4C">
              <w:rPr>
                <w:sz w:val="20"/>
                <w:szCs w:val="20"/>
              </w:rPr>
              <w:t>510.000.000,00</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5736E571" w14:textId="77777777" w:rsidR="00CF3957" w:rsidRPr="007F2D4C" w:rsidRDefault="00CF3957" w:rsidP="001E71E3">
            <w:pPr>
              <w:jc w:val="right"/>
              <w:rPr>
                <w:sz w:val="20"/>
                <w:szCs w:val="20"/>
              </w:rPr>
            </w:pPr>
            <w:r>
              <w:rPr>
                <w:sz w:val="20"/>
                <w:szCs w:val="20"/>
              </w:rPr>
              <w:t>3.842.595.0</w:t>
            </w:r>
            <w:r w:rsidRPr="007F2D4C">
              <w:rPr>
                <w:sz w:val="20"/>
                <w:szCs w:val="20"/>
              </w:rPr>
              <w:t>00,00</w:t>
            </w:r>
          </w:p>
        </w:tc>
      </w:tr>
      <w:tr w:rsidR="00CF3957" w:rsidRPr="007F2D4C" w14:paraId="028EFA2D" w14:textId="77777777" w:rsidTr="001E71E3">
        <w:trPr>
          <w:trHeight w:val="685"/>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02A1" w14:textId="77777777" w:rsidR="00CF3957" w:rsidRPr="007F2D4C" w:rsidRDefault="00CF3957" w:rsidP="001E71E3">
            <w:pPr>
              <w:jc w:val="center"/>
              <w:rPr>
                <w:sz w:val="20"/>
                <w:szCs w:val="20"/>
              </w:rPr>
            </w:pPr>
            <w:r>
              <w:rPr>
                <w:sz w:val="20"/>
                <w:szCs w:val="20"/>
              </w:rPr>
              <w:t>11.</w:t>
            </w:r>
          </w:p>
        </w:tc>
        <w:tc>
          <w:tcPr>
            <w:tcW w:w="3731" w:type="dxa"/>
            <w:tcBorders>
              <w:top w:val="single" w:sz="4" w:space="0" w:color="auto"/>
              <w:left w:val="nil"/>
              <w:bottom w:val="single" w:sz="4" w:space="0" w:color="auto"/>
              <w:right w:val="single" w:sz="4" w:space="0" w:color="auto"/>
            </w:tcBorders>
            <w:shd w:val="clear" w:color="auto" w:fill="auto"/>
            <w:vAlign w:val="center"/>
          </w:tcPr>
          <w:p w14:paraId="533FA664" w14:textId="77777777" w:rsidR="00CF3957" w:rsidRPr="007F2D4C" w:rsidRDefault="00CF3957" w:rsidP="001E71E3">
            <w:pPr>
              <w:rPr>
                <w:sz w:val="20"/>
                <w:szCs w:val="20"/>
              </w:rPr>
            </w:pPr>
            <w:r w:rsidRPr="007F2D4C">
              <w:rPr>
                <w:sz w:val="20"/>
                <w:szCs w:val="20"/>
              </w:rPr>
              <w:t>Privremena potpora radi smanjenja rizika od nezaposlenosti u izvanrednoj situaciji nakon izbijanja bolesti COVI</w:t>
            </w:r>
            <w:r>
              <w:rPr>
                <w:sz w:val="20"/>
                <w:szCs w:val="20"/>
              </w:rPr>
              <w:t>D-19 (SURE) - IV</w:t>
            </w:r>
            <w:r w:rsidRPr="007F2D4C">
              <w:rPr>
                <w:sz w:val="20"/>
                <w:szCs w:val="20"/>
              </w:rPr>
              <w:t>. tranša</w:t>
            </w:r>
          </w:p>
        </w:tc>
        <w:tc>
          <w:tcPr>
            <w:tcW w:w="772" w:type="dxa"/>
            <w:tcBorders>
              <w:top w:val="single" w:sz="4" w:space="0" w:color="auto"/>
              <w:left w:val="nil"/>
              <w:bottom w:val="single" w:sz="4" w:space="0" w:color="auto"/>
              <w:right w:val="single" w:sz="4" w:space="0" w:color="auto"/>
            </w:tcBorders>
            <w:shd w:val="clear" w:color="auto" w:fill="auto"/>
            <w:noWrap/>
            <w:vAlign w:val="center"/>
          </w:tcPr>
          <w:p w14:paraId="4BDF243E" w14:textId="77777777" w:rsidR="00CF3957" w:rsidRPr="007F2D4C" w:rsidRDefault="00CF3957" w:rsidP="001E71E3">
            <w:pPr>
              <w:jc w:val="center"/>
              <w:rPr>
                <w:sz w:val="20"/>
                <w:szCs w:val="20"/>
              </w:rPr>
            </w:pPr>
            <w:r w:rsidRPr="007F2D4C">
              <w:rPr>
                <w:sz w:val="20"/>
                <w:szCs w:val="20"/>
              </w:rPr>
              <w:t>EK</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4A7E372A" w14:textId="77777777" w:rsidR="00CF3957" w:rsidRPr="007F2D4C" w:rsidRDefault="00CF3957" w:rsidP="001E71E3">
            <w:pPr>
              <w:jc w:val="center"/>
              <w:rPr>
                <w:sz w:val="20"/>
                <w:szCs w:val="20"/>
              </w:rPr>
            </w:pPr>
            <w:r w:rsidRPr="007F2D4C">
              <w:rPr>
                <w:sz w:val="20"/>
                <w:szCs w:val="20"/>
              </w:rPr>
              <w:t>EUR</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67171B86" w14:textId="77777777" w:rsidR="00CF3957" w:rsidRPr="007F2D4C" w:rsidRDefault="00CF3957" w:rsidP="001E71E3">
            <w:pPr>
              <w:jc w:val="right"/>
              <w:rPr>
                <w:sz w:val="20"/>
                <w:szCs w:val="20"/>
              </w:rPr>
            </w:pPr>
            <w:r>
              <w:rPr>
                <w:sz w:val="20"/>
                <w:szCs w:val="20"/>
              </w:rPr>
              <w:t>550</w:t>
            </w:r>
            <w:r w:rsidRPr="007F2D4C">
              <w:rPr>
                <w:sz w:val="20"/>
                <w:szCs w:val="20"/>
              </w:rPr>
              <w:t>.000.000,00</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7C87D8A4" w14:textId="77777777" w:rsidR="00CF3957" w:rsidRPr="007F2D4C" w:rsidRDefault="00CF3957" w:rsidP="001E71E3">
            <w:pPr>
              <w:jc w:val="right"/>
              <w:rPr>
                <w:sz w:val="20"/>
                <w:szCs w:val="20"/>
              </w:rPr>
            </w:pPr>
            <w:r w:rsidRPr="00B25B03">
              <w:rPr>
                <w:sz w:val="20"/>
                <w:szCs w:val="20"/>
              </w:rPr>
              <w:t>4.143.975.000,00</w:t>
            </w:r>
          </w:p>
        </w:tc>
      </w:tr>
      <w:tr w:rsidR="00CF3957" w:rsidRPr="00C01418" w14:paraId="2BCD662B" w14:textId="77777777" w:rsidTr="001E71E3">
        <w:trPr>
          <w:trHeight w:val="276"/>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047B8" w14:textId="77777777" w:rsidR="00CF3957" w:rsidRPr="007F2D4C" w:rsidRDefault="00CF3957" w:rsidP="001E71E3">
            <w:pPr>
              <w:rPr>
                <w:b/>
                <w:bCs/>
                <w:sz w:val="20"/>
                <w:szCs w:val="20"/>
              </w:rPr>
            </w:pP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tcPr>
          <w:p w14:paraId="6B6C4099" w14:textId="77777777" w:rsidR="00CF3957" w:rsidRPr="007F2D4C" w:rsidRDefault="00CF3957" w:rsidP="001E71E3">
            <w:pPr>
              <w:rPr>
                <w:b/>
                <w:bCs/>
                <w:sz w:val="20"/>
                <w:szCs w:val="20"/>
              </w:rPr>
            </w:pPr>
            <w:r w:rsidRPr="007F2D4C">
              <w:rPr>
                <w:b/>
                <w:bCs/>
                <w:sz w:val="20"/>
                <w:szCs w:val="20"/>
              </w:rPr>
              <w:t>UKUPNO</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72DDC" w14:textId="77777777" w:rsidR="00CF3957" w:rsidRPr="007F2D4C" w:rsidRDefault="00CF3957" w:rsidP="001E71E3">
            <w:pPr>
              <w:jc w:val="center"/>
              <w:rPr>
                <w:b/>
                <w:bCs/>
                <w:sz w:val="20"/>
                <w:szCs w:val="20"/>
              </w:rPr>
            </w:pPr>
            <w:r w:rsidRPr="007F2D4C">
              <w:rPr>
                <w:b/>
                <w:bCs/>
                <w:sz w:val="20"/>
                <w:szCs w:val="20"/>
              </w:rPr>
              <w:t>EK</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72990" w14:textId="77777777" w:rsidR="00CF3957" w:rsidRPr="007F2D4C" w:rsidRDefault="00CF3957" w:rsidP="001E71E3">
            <w:pPr>
              <w:rPr>
                <w:b/>
                <w:bCs/>
                <w:sz w:val="20"/>
                <w:szCs w:val="20"/>
              </w:rPr>
            </w:pPr>
            <w:r w:rsidRPr="007F2D4C">
              <w:rPr>
                <w:b/>
                <w:bCs/>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24E94" w14:textId="77777777" w:rsidR="00CF3957" w:rsidRPr="00B25B03" w:rsidRDefault="00CF3957" w:rsidP="001E71E3">
            <w:pPr>
              <w:rPr>
                <w:b/>
                <w:bCs/>
                <w:sz w:val="20"/>
                <w:szCs w:val="20"/>
              </w:rPr>
            </w:pPr>
            <w:r w:rsidRPr="00B25B03">
              <w:rPr>
                <w:b/>
                <w:bCs/>
                <w:sz w:val="20"/>
                <w:szCs w:val="20"/>
              </w:rPr>
              <w:t>1.570.000.000,00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78BB" w14:textId="77777777" w:rsidR="00CF3957" w:rsidRPr="00B25B03" w:rsidRDefault="00CF3957" w:rsidP="001E71E3">
            <w:pPr>
              <w:rPr>
                <w:b/>
                <w:bCs/>
                <w:sz w:val="20"/>
                <w:szCs w:val="20"/>
              </w:rPr>
            </w:pPr>
            <w:r w:rsidRPr="00B25B03">
              <w:rPr>
                <w:b/>
                <w:bCs/>
                <w:sz w:val="20"/>
                <w:szCs w:val="20"/>
              </w:rPr>
              <w:t>11.829.165.000,00</w:t>
            </w:r>
          </w:p>
        </w:tc>
      </w:tr>
      <w:tr w:rsidR="00CF3957" w:rsidRPr="007F2D4C" w14:paraId="7FE18BF7" w14:textId="77777777" w:rsidTr="001E71E3">
        <w:trPr>
          <w:trHeight w:val="223"/>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536FF" w14:textId="77777777" w:rsidR="00CF3957" w:rsidRPr="00906145" w:rsidRDefault="00CF3957" w:rsidP="001E71E3">
            <w:pPr>
              <w:jc w:val="center"/>
              <w:rPr>
                <w:bCs/>
                <w:sz w:val="20"/>
                <w:szCs w:val="20"/>
              </w:rPr>
            </w:pPr>
            <w:r w:rsidRPr="00906145">
              <w:rPr>
                <w:bCs/>
                <w:sz w:val="20"/>
                <w:szCs w:val="20"/>
              </w:rPr>
              <w:t>12.</w:t>
            </w:r>
          </w:p>
        </w:tc>
        <w:tc>
          <w:tcPr>
            <w:tcW w:w="3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B9107" w14:textId="77777777" w:rsidR="00CF3957" w:rsidRPr="00906145" w:rsidRDefault="00CF3957" w:rsidP="001E71E3">
            <w:pPr>
              <w:rPr>
                <w:sz w:val="20"/>
                <w:szCs w:val="20"/>
              </w:rPr>
            </w:pPr>
            <w:r w:rsidRPr="00906145">
              <w:rPr>
                <w:sz w:val="20"/>
                <w:szCs w:val="20"/>
              </w:rPr>
              <w:t xml:space="preserve">Pristupanje Republike Hrvatske Paneuropskom jamstvenom fondu kao odgovor na COVID-19 koji se pokreće u okviru Europske investicijske banke, kao dio odgovora EU na ekonomsku krizu izazvanu COVID-19 </w:t>
            </w:r>
            <w:proofErr w:type="spellStart"/>
            <w:r w:rsidRPr="00906145">
              <w:rPr>
                <w:sz w:val="20"/>
                <w:szCs w:val="20"/>
              </w:rPr>
              <w:t>pandemijom</w:t>
            </w:r>
            <w:proofErr w:type="spellEnd"/>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7A2D2" w14:textId="77777777" w:rsidR="00CF3957" w:rsidRPr="007F2D4C" w:rsidRDefault="00CF3957" w:rsidP="001E71E3">
            <w:pPr>
              <w:jc w:val="center"/>
              <w:rPr>
                <w:sz w:val="20"/>
                <w:szCs w:val="20"/>
              </w:rPr>
            </w:pPr>
            <w:r>
              <w:rPr>
                <w:sz w:val="20"/>
                <w:szCs w:val="20"/>
              </w:rPr>
              <w:t>EIB</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E24A2" w14:textId="77777777" w:rsidR="00CF3957" w:rsidRPr="00906145" w:rsidRDefault="00CF3957" w:rsidP="001E71E3">
            <w:pPr>
              <w:jc w:val="center"/>
              <w:rPr>
                <w:bCs/>
                <w:sz w:val="20"/>
                <w:szCs w:val="20"/>
              </w:rPr>
            </w:pPr>
            <w:r w:rsidRPr="00906145">
              <w:rPr>
                <w:bCs/>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04C99" w14:textId="77777777" w:rsidR="00CF3957" w:rsidRPr="00906145" w:rsidRDefault="00CF3957" w:rsidP="001E71E3">
            <w:pPr>
              <w:jc w:val="right"/>
              <w:rPr>
                <w:bCs/>
                <w:sz w:val="20"/>
                <w:szCs w:val="20"/>
              </w:rPr>
            </w:pPr>
            <w:r w:rsidRPr="00906145">
              <w:rPr>
                <w:bCs/>
                <w:sz w:val="20"/>
                <w:szCs w:val="20"/>
              </w:rPr>
              <w:t>110.029,11</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732B8" w14:textId="77777777" w:rsidR="00CF3957" w:rsidRPr="00906145" w:rsidRDefault="00CF3957" w:rsidP="001E71E3">
            <w:pPr>
              <w:jc w:val="right"/>
              <w:rPr>
                <w:sz w:val="20"/>
                <w:szCs w:val="20"/>
              </w:rPr>
            </w:pPr>
            <w:r w:rsidRPr="00906145">
              <w:rPr>
                <w:sz w:val="20"/>
                <w:szCs w:val="20"/>
              </w:rPr>
              <w:t>829.014,33</w:t>
            </w:r>
          </w:p>
        </w:tc>
      </w:tr>
      <w:tr w:rsidR="00CF3957" w:rsidRPr="00915437" w14:paraId="2E1635AA" w14:textId="77777777" w:rsidTr="001E71E3">
        <w:trPr>
          <w:trHeight w:val="290"/>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37BBE" w14:textId="77777777" w:rsidR="00CF3957" w:rsidRPr="00915437" w:rsidRDefault="00CF3957" w:rsidP="001E71E3">
            <w:pPr>
              <w:rPr>
                <w:b/>
                <w:bCs/>
                <w:sz w:val="20"/>
                <w:szCs w:val="20"/>
              </w:rPr>
            </w:pP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tcPr>
          <w:p w14:paraId="086EE8FD" w14:textId="77777777" w:rsidR="00CF3957" w:rsidRPr="00915437" w:rsidRDefault="00CF3957" w:rsidP="001E71E3">
            <w:pPr>
              <w:rPr>
                <w:b/>
                <w:bCs/>
                <w:sz w:val="20"/>
                <w:szCs w:val="20"/>
              </w:rPr>
            </w:pPr>
            <w:r w:rsidRPr="00200732">
              <w:rPr>
                <w:b/>
                <w:bCs/>
                <w:sz w:val="20"/>
                <w:szCs w:val="20"/>
              </w:rPr>
              <w:t>UKUPNO</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CF7E5" w14:textId="77777777" w:rsidR="00CF3957" w:rsidRPr="00915437" w:rsidRDefault="00CF3957" w:rsidP="001E71E3">
            <w:pPr>
              <w:jc w:val="center"/>
              <w:rPr>
                <w:b/>
                <w:bCs/>
                <w:sz w:val="20"/>
                <w:szCs w:val="20"/>
              </w:rPr>
            </w:pPr>
            <w:r>
              <w:rPr>
                <w:b/>
                <w:bCs/>
                <w:sz w:val="20"/>
                <w:szCs w:val="20"/>
              </w:rPr>
              <w:t>EIB</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ED8B2" w14:textId="77777777" w:rsidR="00CF3957" w:rsidRPr="007F2D4C" w:rsidRDefault="00CF3957" w:rsidP="001E71E3">
            <w:pPr>
              <w:jc w:val="center"/>
              <w:rPr>
                <w:b/>
                <w:bCs/>
                <w:sz w:val="20"/>
                <w:szCs w:val="20"/>
              </w:rPr>
            </w:pPr>
            <w:r>
              <w:rPr>
                <w:b/>
                <w:bCs/>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BE999" w14:textId="77777777" w:rsidR="00CF3957" w:rsidRPr="007F2D4C" w:rsidRDefault="00CF3957" w:rsidP="001E71E3">
            <w:pPr>
              <w:jc w:val="right"/>
              <w:rPr>
                <w:b/>
                <w:bCs/>
                <w:sz w:val="20"/>
                <w:szCs w:val="20"/>
              </w:rPr>
            </w:pPr>
            <w:r>
              <w:rPr>
                <w:b/>
                <w:bCs/>
                <w:sz w:val="20"/>
                <w:szCs w:val="20"/>
              </w:rPr>
              <w:t>110.029,11</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D709D" w14:textId="77777777" w:rsidR="00CF3957" w:rsidRPr="00915437" w:rsidRDefault="00CF3957" w:rsidP="001E71E3">
            <w:pPr>
              <w:jc w:val="right"/>
              <w:rPr>
                <w:b/>
                <w:bCs/>
                <w:sz w:val="20"/>
                <w:szCs w:val="20"/>
              </w:rPr>
            </w:pPr>
            <w:r>
              <w:rPr>
                <w:b/>
                <w:bCs/>
                <w:sz w:val="20"/>
                <w:szCs w:val="20"/>
              </w:rPr>
              <w:t>829.014,33</w:t>
            </w:r>
          </w:p>
        </w:tc>
      </w:tr>
      <w:tr w:rsidR="00CF3957" w:rsidRPr="007F2D4C" w14:paraId="7DD2162D" w14:textId="77777777" w:rsidTr="001E71E3">
        <w:trPr>
          <w:trHeight w:val="276"/>
          <w:jc w:val="center"/>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593B3" w14:textId="77777777" w:rsidR="00CF3957" w:rsidRPr="007F2D4C" w:rsidRDefault="00CF3957" w:rsidP="001E71E3">
            <w:pPr>
              <w:rPr>
                <w:b/>
                <w:bCs/>
                <w:sz w:val="20"/>
                <w:szCs w:val="20"/>
              </w:rPr>
            </w:pPr>
            <w:r w:rsidRPr="007F2D4C">
              <w:rPr>
                <w:b/>
                <w:bCs/>
                <w:sz w:val="20"/>
                <w:szCs w:val="20"/>
              </w:rPr>
              <w:t>SVEUKUPNO</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004CE" w14:textId="77777777" w:rsidR="00CF3957" w:rsidRPr="007F2D4C" w:rsidRDefault="00CF3957" w:rsidP="001E71E3">
            <w:pPr>
              <w:jc w:val="center"/>
              <w:rPr>
                <w:b/>
                <w:bCs/>
                <w:sz w:val="20"/>
                <w:szCs w:val="20"/>
              </w:rPr>
            </w:pPr>
            <w:r w:rsidRPr="007F2D4C">
              <w:rPr>
                <w:b/>
                <w:bCs/>
                <w:sz w:val="20"/>
                <w:szCs w:val="20"/>
              </w:rPr>
              <w:t>EUR</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53751" w14:textId="77777777" w:rsidR="00CF3957" w:rsidRPr="001378AA" w:rsidRDefault="00CF3957" w:rsidP="001E71E3">
            <w:pPr>
              <w:jc w:val="right"/>
              <w:rPr>
                <w:b/>
                <w:bCs/>
                <w:sz w:val="20"/>
                <w:szCs w:val="20"/>
              </w:rPr>
            </w:pPr>
            <w:r w:rsidRPr="001378AA">
              <w:rPr>
                <w:b/>
                <w:bCs/>
                <w:sz w:val="20"/>
                <w:szCs w:val="20"/>
              </w:rPr>
              <w:t>2.387.486.031,32</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7E827" w14:textId="77777777" w:rsidR="00CF3957" w:rsidRPr="001378AA" w:rsidRDefault="00CF3957" w:rsidP="001E71E3">
            <w:pPr>
              <w:jc w:val="right"/>
              <w:rPr>
                <w:b/>
                <w:bCs/>
                <w:sz w:val="20"/>
                <w:szCs w:val="20"/>
              </w:rPr>
            </w:pPr>
            <w:r w:rsidRPr="001378AA">
              <w:rPr>
                <w:b/>
                <w:bCs/>
                <w:sz w:val="20"/>
                <w:szCs w:val="20"/>
              </w:rPr>
              <w:t>17.988.513.502,98</w:t>
            </w:r>
          </w:p>
        </w:tc>
      </w:tr>
    </w:tbl>
    <w:p w14:paraId="7FA9BFC5" w14:textId="77777777" w:rsidR="00CF3957" w:rsidRPr="00C2390B" w:rsidRDefault="00CF3957" w:rsidP="00CF3957">
      <w:pPr>
        <w:jc w:val="center"/>
        <w:rPr>
          <w:bCs/>
        </w:rPr>
      </w:pPr>
    </w:p>
    <w:p w14:paraId="2E2ED97C" w14:textId="77777777" w:rsidR="00CF3957" w:rsidRPr="00E8297D" w:rsidRDefault="00CF3957" w:rsidP="00CF3957">
      <w:pPr>
        <w:keepNext/>
        <w:jc w:val="both"/>
        <w:rPr>
          <w:b/>
          <w:sz w:val="20"/>
          <w:szCs w:val="20"/>
          <w:highlight w:val="red"/>
        </w:rPr>
      </w:pPr>
    </w:p>
    <w:p w14:paraId="565A39B2" w14:textId="77777777" w:rsidR="00CF3957" w:rsidRDefault="00CF3957" w:rsidP="00CF3957">
      <w:pPr>
        <w:jc w:val="center"/>
        <w:rPr>
          <w:bCs/>
          <w:sz w:val="28"/>
          <w:szCs w:val="28"/>
        </w:rPr>
      </w:pPr>
    </w:p>
    <w:p w14:paraId="5E643EB9" w14:textId="77777777" w:rsidR="00CF3957" w:rsidRPr="00C85DCC" w:rsidRDefault="00CF3957" w:rsidP="00CF3957">
      <w:pPr>
        <w:jc w:val="center"/>
        <w:rPr>
          <w:bCs/>
          <w:sz w:val="28"/>
          <w:szCs w:val="28"/>
        </w:rPr>
      </w:pPr>
      <w:r>
        <w:rPr>
          <w:bCs/>
          <w:sz w:val="28"/>
          <w:szCs w:val="28"/>
        </w:rPr>
        <w:t>Bilješka 29</w:t>
      </w:r>
      <w:r w:rsidRPr="00C85DCC">
        <w:rPr>
          <w:bCs/>
          <w:sz w:val="28"/>
          <w:szCs w:val="28"/>
        </w:rPr>
        <w:t>.</w:t>
      </w:r>
    </w:p>
    <w:p w14:paraId="46C72FF9" w14:textId="77777777" w:rsidR="00CF3957" w:rsidRPr="00C2390B" w:rsidRDefault="00CF3957" w:rsidP="00CF3957">
      <w:pPr>
        <w:jc w:val="center"/>
        <w:rPr>
          <w:bCs/>
          <w:sz w:val="28"/>
          <w:szCs w:val="28"/>
        </w:rPr>
      </w:pPr>
      <w:r>
        <w:rPr>
          <w:bCs/>
          <w:sz w:val="28"/>
          <w:szCs w:val="28"/>
        </w:rPr>
        <w:t>Šifra 2615</w:t>
      </w:r>
      <w:r w:rsidRPr="00C2390B">
        <w:rPr>
          <w:bCs/>
          <w:sz w:val="28"/>
          <w:szCs w:val="28"/>
        </w:rPr>
        <w:t xml:space="preserve"> Obveze za zajmove od inozemnih vlada u EU </w:t>
      </w:r>
    </w:p>
    <w:p w14:paraId="62884B75" w14:textId="77777777" w:rsidR="00CF3957" w:rsidRDefault="00CF3957" w:rsidP="00CF3957">
      <w:pPr>
        <w:jc w:val="both"/>
        <w:rPr>
          <w:bCs/>
          <w:szCs w:val="28"/>
        </w:rPr>
      </w:pPr>
    </w:p>
    <w:p w14:paraId="21C3A5D7" w14:textId="77777777" w:rsidR="00CF3957" w:rsidRPr="00D42A73" w:rsidRDefault="00CF3957" w:rsidP="00CF3957">
      <w:pPr>
        <w:keepNext/>
        <w:jc w:val="both"/>
        <w:rPr>
          <w:bCs/>
        </w:rPr>
      </w:pPr>
      <w:r w:rsidRPr="00D42A73">
        <w:rPr>
          <w:bCs/>
        </w:rPr>
        <w:t xml:space="preserve">Iznos od </w:t>
      </w:r>
      <w:r>
        <w:rPr>
          <w:bCs/>
        </w:rPr>
        <w:t>264.807.027,67 kune na dan 31. prosinca 2022. godine</w:t>
      </w:r>
      <w:r w:rsidRPr="00D42A73">
        <w:rPr>
          <w:bCs/>
        </w:rPr>
        <w:t xml:space="preserve"> čine obveze za </w:t>
      </w:r>
      <w:r>
        <w:rPr>
          <w:bCs/>
        </w:rPr>
        <w:t>zajmove od inozemnih vlada u EU</w:t>
      </w:r>
      <w:r w:rsidRPr="00D42A73">
        <w:rPr>
          <w:bCs/>
        </w:rPr>
        <w:t xml:space="preserve"> čija analitika je dana u </w:t>
      </w:r>
      <w:r>
        <w:rPr>
          <w:bCs/>
        </w:rPr>
        <w:t>Tablici 16.</w:t>
      </w:r>
    </w:p>
    <w:p w14:paraId="69BDF6E1" w14:textId="77777777" w:rsidR="00CF3957" w:rsidRDefault="00CF3957" w:rsidP="00CF3957">
      <w:pPr>
        <w:jc w:val="both"/>
        <w:rPr>
          <w:bCs/>
          <w:szCs w:val="28"/>
        </w:rPr>
      </w:pPr>
    </w:p>
    <w:p w14:paraId="37B50468" w14:textId="77777777" w:rsidR="00CF3957" w:rsidRDefault="00CF3957" w:rsidP="00CF3957">
      <w:pPr>
        <w:jc w:val="both"/>
        <w:rPr>
          <w:rFonts w:cstheme="minorHAnsi"/>
          <w:bCs/>
        </w:rPr>
      </w:pPr>
      <w:r w:rsidRPr="00314C47">
        <w:rPr>
          <w:rFonts w:cstheme="minorHAnsi"/>
          <w:bCs/>
        </w:rPr>
        <w:t>Stanje na 1. siječnja 202</w:t>
      </w:r>
      <w:r w:rsidRPr="00121DAA">
        <w:rPr>
          <w:rFonts w:cstheme="minorHAnsi"/>
          <w:bCs/>
        </w:rPr>
        <w:t>2</w:t>
      </w:r>
      <w:r w:rsidRPr="00314C47">
        <w:rPr>
          <w:rFonts w:cstheme="minorHAnsi"/>
          <w:bCs/>
        </w:rPr>
        <w:t>.</w:t>
      </w:r>
      <w:r>
        <w:rPr>
          <w:rFonts w:cstheme="minorHAnsi"/>
          <w:bCs/>
        </w:rPr>
        <w:t xml:space="preserve"> godine</w:t>
      </w:r>
      <w:r w:rsidRPr="00314C47">
        <w:rPr>
          <w:rFonts w:cstheme="minorHAnsi"/>
          <w:bCs/>
        </w:rPr>
        <w:t xml:space="preserve"> u iznosu </w:t>
      </w:r>
      <w:r w:rsidRPr="00BB0226">
        <w:rPr>
          <w:rFonts w:cstheme="minorHAnsi"/>
          <w:bCs/>
        </w:rPr>
        <w:t>od 1.676.</w:t>
      </w:r>
      <w:r>
        <w:rPr>
          <w:rFonts w:cstheme="minorHAnsi"/>
          <w:bCs/>
        </w:rPr>
        <w:t>365</w:t>
      </w:r>
      <w:r w:rsidRPr="00BB0226">
        <w:rPr>
          <w:rFonts w:cstheme="minorHAnsi"/>
          <w:bCs/>
        </w:rPr>
        <w:t>,</w:t>
      </w:r>
      <w:r>
        <w:rPr>
          <w:rFonts w:cstheme="minorHAnsi"/>
          <w:bCs/>
        </w:rPr>
        <w:t>36</w:t>
      </w:r>
      <w:r w:rsidRPr="00BB0226">
        <w:rPr>
          <w:rFonts w:cstheme="minorHAnsi"/>
          <w:bCs/>
        </w:rPr>
        <w:t xml:space="preserve"> kuna (223.004,73 EUR) odnosi</w:t>
      </w:r>
      <w:r w:rsidRPr="00314C47">
        <w:rPr>
          <w:rFonts w:cstheme="minorHAnsi"/>
          <w:bCs/>
        </w:rPr>
        <w:t xml:space="preserve"> se na obveze za zajmove Kraljevine Belgije.</w:t>
      </w:r>
    </w:p>
    <w:p w14:paraId="3676EE7C" w14:textId="77777777" w:rsidR="00CF3957" w:rsidRPr="00314C47" w:rsidRDefault="00CF3957" w:rsidP="00CF3957">
      <w:pPr>
        <w:jc w:val="both"/>
        <w:rPr>
          <w:rFonts w:cstheme="minorHAnsi"/>
          <w:bCs/>
        </w:rPr>
      </w:pPr>
    </w:p>
    <w:p w14:paraId="0BA7E9AF" w14:textId="77777777" w:rsidR="00CF3957" w:rsidRDefault="00CF3957" w:rsidP="00CF3957">
      <w:pPr>
        <w:jc w:val="both"/>
        <w:rPr>
          <w:rFonts w:cstheme="minorHAnsi"/>
          <w:bCs/>
        </w:rPr>
      </w:pPr>
      <w:r w:rsidRPr="00314C47">
        <w:rPr>
          <w:rFonts w:cstheme="minorHAnsi"/>
          <w:bCs/>
        </w:rPr>
        <w:t>Stanje na dan 31. prosinca 202</w:t>
      </w:r>
      <w:r w:rsidRPr="00121DAA">
        <w:rPr>
          <w:rFonts w:cstheme="minorHAnsi"/>
          <w:bCs/>
        </w:rPr>
        <w:t>2</w:t>
      </w:r>
      <w:r w:rsidRPr="00314C47">
        <w:rPr>
          <w:rFonts w:cstheme="minorHAnsi"/>
          <w:bCs/>
        </w:rPr>
        <w:t>.</w:t>
      </w:r>
      <w:r>
        <w:rPr>
          <w:rFonts w:cstheme="minorHAnsi"/>
          <w:bCs/>
        </w:rPr>
        <w:t xml:space="preserve"> godine</w:t>
      </w:r>
      <w:r w:rsidRPr="00314C47">
        <w:rPr>
          <w:rFonts w:cstheme="minorHAnsi"/>
          <w:bCs/>
        </w:rPr>
        <w:t xml:space="preserve"> iznosi 264.</w:t>
      </w:r>
      <w:r w:rsidRPr="00121DAA">
        <w:rPr>
          <w:rFonts w:cstheme="minorHAnsi"/>
          <w:bCs/>
        </w:rPr>
        <w:t>80</w:t>
      </w:r>
      <w:r w:rsidRPr="00314C47">
        <w:rPr>
          <w:rFonts w:cstheme="minorHAnsi"/>
          <w:bCs/>
        </w:rPr>
        <w:t>7</w:t>
      </w:r>
      <w:r w:rsidRPr="00121DAA">
        <w:rPr>
          <w:rFonts w:cstheme="minorHAnsi"/>
          <w:bCs/>
        </w:rPr>
        <w:t>.027</w:t>
      </w:r>
      <w:r w:rsidRPr="00314C47">
        <w:rPr>
          <w:rFonts w:cstheme="minorHAnsi"/>
          <w:bCs/>
        </w:rPr>
        <w:t>,</w:t>
      </w:r>
      <w:r w:rsidRPr="00121DAA">
        <w:rPr>
          <w:rFonts w:cstheme="minorHAnsi"/>
          <w:bCs/>
        </w:rPr>
        <w:t>67</w:t>
      </w:r>
      <w:r w:rsidRPr="00314C47">
        <w:rPr>
          <w:rFonts w:cstheme="minorHAnsi"/>
          <w:bCs/>
        </w:rPr>
        <w:t xml:space="preserve"> kuna, a uključuje obveze na zajmove Kraljevine Belgije te u 202</w:t>
      </w:r>
      <w:r w:rsidRPr="00121DAA">
        <w:rPr>
          <w:rFonts w:cstheme="minorHAnsi"/>
          <w:bCs/>
        </w:rPr>
        <w:t>2</w:t>
      </w:r>
      <w:r w:rsidRPr="00314C47">
        <w:rPr>
          <w:rFonts w:cstheme="minorHAnsi"/>
          <w:bCs/>
        </w:rPr>
        <w:t>. obvezu za zajam u iznosu od</w:t>
      </w:r>
      <w:r w:rsidRPr="00314C47">
        <w:rPr>
          <w:rFonts w:cstheme="minorHAnsi"/>
        </w:rPr>
        <w:t xml:space="preserve"> </w:t>
      </w:r>
      <w:r w:rsidRPr="00314C47">
        <w:rPr>
          <w:rFonts w:cstheme="minorHAnsi"/>
          <w:bCs/>
        </w:rPr>
        <w:t>26</w:t>
      </w:r>
      <w:r w:rsidRPr="00121DAA">
        <w:rPr>
          <w:rFonts w:cstheme="minorHAnsi"/>
          <w:bCs/>
        </w:rPr>
        <w:t>3</w:t>
      </w:r>
      <w:r w:rsidRPr="00314C47">
        <w:rPr>
          <w:rFonts w:cstheme="minorHAnsi"/>
          <w:bCs/>
        </w:rPr>
        <w:t>.</w:t>
      </w:r>
      <w:r w:rsidRPr="00121DAA">
        <w:rPr>
          <w:rFonts w:cstheme="minorHAnsi"/>
          <w:bCs/>
        </w:rPr>
        <w:t>406</w:t>
      </w:r>
      <w:r w:rsidRPr="00314C47">
        <w:rPr>
          <w:rFonts w:cstheme="minorHAnsi"/>
          <w:bCs/>
        </w:rPr>
        <w:t>.</w:t>
      </w:r>
      <w:r w:rsidRPr="00121DAA">
        <w:rPr>
          <w:rFonts w:cstheme="minorHAnsi"/>
          <w:bCs/>
        </w:rPr>
        <w:t>825</w:t>
      </w:r>
      <w:r w:rsidRPr="00314C47">
        <w:rPr>
          <w:rFonts w:cstheme="minorHAnsi"/>
          <w:bCs/>
        </w:rPr>
        <w:t>,</w:t>
      </w:r>
      <w:r w:rsidRPr="00121DAA">
        <w:rPr>
          <w:rFonts w:cstheme="minorHAnsi"/>
          <w:bCs/>
        </w:rPr>
        <w:t>76</w:t>
      </w:r>
      <w:r w:rsidRPr="00314C47">
        <w:rPr>
          <w:rFonts w:cstheme="minorHAnsi"/>
          <w:bCs/>
        </w:rPr>
        <w:t xml:space="preserve"> kuna koji se odnosi na zajam koji je 1956. godine odobren Narodnoj banci Jugoslavije, a čiji je dio temeljem sporazuma o preuzimanju duga po Pariškom klubu prema vjerovniku Saveznoj Republici Njemačkoj, preuzela Republika Hrvatska u iznosu od originalno 68.376.000 DEM beskamatno s dospijećem 10.</w:t>
      </w:r>
      <w:r>
        <w:rPr>
          <w:rFonts w:cstheme="minorHAnsi"/>
          <w:bCs/>
        </w:rPr>
        <w:t xml:space="preserve"> ožujka </w:t>
      </w:r>
      <w:r w:rsidRPr="00314C47">
        <w:rPr>
          <w:rFonts w:cstheme="minorHAnsi"/>
          <w:bCs/>
        </w:rPr>
        <w:t>2055.</w:t>
      </w:r>
      <w:r>
        <w:rPr>
          <w:rFonts w:cstheme="minorHAnsi"/>
          <w:bCs/>
        </w:rPr>
        <w:t xml:space="preserve"> godine.</w:t>
      </w:r>
    </w:p>
    <w:p w14:paraId="43BCA1DC" w14:textId="77777777" w:rsidR="00CF3957" w:rsidRPr="00314C47" w:rsidRDefault="00CF3957" w:rsidP="00CF3957">
      <w:pPr>
        <w:jc w:val="both"/>
        <w:rPr>
          <w:rFonts w:cstheme="minorHAnsi"/>
          <w:bCs/>
        </w:rPr>
      </w:pPr>
    </w:p>
    <w:p w14:paraId="369A531C" w14:textId="77777777" w:rsidR="00CF3957" w:rsidRPr="00C2390B" w:rsidRDefault="00CF3957" w:rsidP="00CF3957">
      <w:pPr>
        <w:keepNext/>
        <w:jc w:val="both"/>
        <w:rPr>
          <w:b/>
          <w:sz w:val="20"/>
          <w:szCs w:val="20"/>
        </w:rPr>
      </w:pPr>
      <w:r>
        <w:rPr>
          <w:b/>
          <w:sz w:val="20"/>
          <w:szCs w:val="20"/>
        </w:rPr>
        <w:t>Tablica 16</w:t>
      </w:r>
      <w:r w:rsidRPr="00C2390B">
        <w:rPr>
          <w:b/>
          <w:sz w:val="20"/>
          <w:szCs w:val="20"/>
        </w:rPr>
        <w:t xml:space="preserve">. </w:t>
      </w:r>
    </w:p>
    <w:tbl>
      <w:tblPr>
        <w:tblW w:w="9370" w:type="dxa"/>
        <w:tblLook w:val="04A0" w:firstRow="1" w:lastRow="0" w:firstColumn="1" w:lastColumn="0" w:noHBand="0" w:noVBand="1"/>
      </w:tblPr>
      <w:tblGrid>
        <w:gridCol w:w="910"/>
        <w:gridCol w:w="3196"/>
        <w:gridCol w:w="680"/>
        <w:gridCol w:w="860"/>
        <w:gridCol w:w="1944"/>
        <w:gridCol w:w="1780"/>
      </w:tblGrid>
      <w:tr w:rsidR="00CF3957" w:rsidRPr="002B00C2" w14:paraId="10F3FDF2" w14:textId="77777777" w:rsidTr="001E71E3">
        <w:trPr>
          <w:trHeight w:val="799"/>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31902" w14:textId="77777777" w:rsidR="00CF3957" w:rsidRPr="002B00C2" w:rsidRDefault="00CF3957" w:rsidP="001E71E3">
            <w:pPr>
              <w:jc w:val="center"/>
              <w:rPr>
                <w:b/>
                <w:bCs/>
                <w:sz w:val="16"/>
                <w:szCs w:val="16"/>
              </w:rPr>
            </w:pPr>
            <w:r w:rsidRPr="002B00C2">
              <w:rPr>
                <w:b/>
                <w:bCs/>
                <w:sz w:val="16"/>
                <w:szCs w:val="16"/>
              </w:rPr>
              <w:t>Red. broj</w:t>
            </w:r>
          </w:p>
        </w:tc>
        <w:tc>
          <w:tcPr>
            <w:tcW w:w="3196" w:type="dxa"/>
            <w:tcBorders>
              <w:top w:val="single" w:sz="4" w:space="0" w:color="auto"/>
              <w:left w:val="nil"/>
              <w:bottom w:val="single" w:sz="4" w:space="0" w:color="auto"/>
              <w:right w:val="single" w:sz="4" w:space="0" w:color="auto"/>
            </w:tcBorders>
            <w:shd w:val="clear" w:color="auto" w:fill="auto"/>
            <w:noWrap/>
            <w:vAlign w:val="center"/>
            <w:hideMark/>
          </w:tcPr>
          <w:p w14:paraId="2F9358A4" w14:textId="77777777" w:rsidR="00CF3957" w:rsidRPr="00B20BDD" w:rsidRDefault="00CF3957" w:rsidP="001E71E3">
            <w:pPr>
              <w:jc w:val="center"/>
              <w:rPr>
                <w:b/>
                <w:bCs/>
                <w:sz w:val="20"/>
                <w:szCs w:val="16"/>
              </w:rPr>
            </w:pPr>
            <w:r w:rsidRPr="00B20BDD">
              <w:rPr>
                <w:b/>
                <w:bCs/>
                <w:sz w:val="20"/>
                <w:szCs w:val="16"/>
              </w:rPr>
              <w:t>Namjena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2BC492B" w14:textId="77777777" w:rsidR="00CF3957" w:rsidRPr="002B00C2" w:rsidRDefault="00CF3957" w:rsidP="001E71E3">
            <w:pPr>
              <w:jc w:val="center"/>
              <w:rPr>
                <w:b/>
                <w:bCs/>
                <w:sz w:val="16"/>
                <w:szCs w:val="16"/>
              </w:rPr>
            </w:pPr>
            <w:r w:rsidRPr="002B00C2">
              <w:rPr>
                <w:b/>
                <w:bCs/>
                <w:sz w:val="16"/>
                <w:szCs w:val="16"/>
              </w:rPr>
              <w:t>Banka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C4FDC4C" w14:textId="77777777" w:rsidR="00CF3957" w:rsidRPr="002B00C2" w:rsidRDefault="00CF3957" w:rsidP="001E71E3">
            <w:pPr>
              <w:jc w:val="center"/>
              <w:rPr>
                <w:b/>
                <w:bCs/>
                <w:sz w:val="16"/>
                <w:szCs w:val="16"/>
              </w:rPr>
            </w:pPr>
            <w:r w:rsidRPr="002B00C2">
              <w:rPr>
                <w:b/>
                <w:bCs/>
                <w:sz w:val="16"/>
                <w:szCs w:val="16"/>
              </w:rPr>
              <w:t>Valuta</w:t>
            </w:r>
          </w:p>
        </w:tc>
        <w:tc>
          <w:tcPr>
            <w:tcW w:w="1944" w:type="dxa"/>
            <w:tcBorders>
              <w:top w:val="single" w:sz="4" w:space="0" w:color="auto"/>
              <w:left w:val="nil"/>
              <w:bottom w:val="nil"/>
              <w:right w:val="single" w:sz="4" w:space="0" w:color="auto"/>
            </w:tcBorders>
            <w:shd w:val="clear" w:color="auto" w:fill="auto"/>
            <w:vAlign w:val="center"/>
            <w:hideMark/>
          </w:tcPr>
          <w:p w14:paraId="2EC33C1B" w14:textId="77777777" w:rsidR="00CF3957" w:rsidRPr="00B20BDD" w:rsidRDefault="00CF3957" w:rsidP="001E71E3">
            <w:pPr>
              <w:jc w:val="center"/>
              <w:rPr>
                <w:b/>
                <w:bCs/>
                <w:sz w:val="20"/>
                <w:szCs w:val="16"/>
              </w:rPr>
            </w:pPr>
            <w:r w:rsidRPr="00B20BDD">
              <w:rPr>
                <w:b/>
                <w:bCs/>
                <w:sz w:val="20"/>
                <w:szCs w:val="16"/>
              </w:rPr>
              <w:t>Stanje obveza na dan 31.12.2022.(</w:t>
            </w:r>
            <w:proofErr w:type="spellStart"/>
            <w:r w:rsidRPr="00B20BDD">
              <w:rPr>
                <w:b/>
                <w:bCs/>
                <w:sz w:val="20"/>
                <w:szCs w:val="16"/>
              </w:rPr>
              <w:t>org.val</w:t>
            </w:r>
            <w:proofErr w:type="spellEnd"/>
            <w:r w:rsidRPr="00B20BDD">
              <w:rPr>
                <w:b/>
                <w:bCs/>
                <w:sz w:val="20"/>
                <w:szCs w:val="16"/>
              </w:rPr>
              <w:t>.)</w:t>
            </w:r>
          </w:p>
        </w:tc>
        <w:tc>
          <w:tcPr>
            <w:tcW w:w="1780" w:type="dxa"/>
            <w:tcBorders>
              <w:top w:val="single" w:sz="4" w:space="0" w:color="auto"/>
              <w:left w:val="nil"/>
              <w:bottom w:val="nil"/>
              <w:right w:val="single" w:sz="4" w:space="0" w:color="auto"/>
            </w:tcBorders>
            <w:shd w:val="clear" w:color="auto" w:fill="auto"/>
            <w:vAlign w:val="center"/>
            <w:hideMark/>
          </w:tcPr>
          <w:p w14:paraId="12E5B240" w14:textId="77777777" w:rsidR="00CF3957" w:rsidRPr="00B20BDD" w:rsidRDefault="00CF3957" w:rsidP="001E71E3">
            <w:pPr>
              <w:jc w:val="center"/>
              <w:rPr>
                <w:b/>
                <w:bCs/>
                <w:sz w:val="20"/>
                <w:szCs w:val="16"/>
              </w:rPr>
            </w:pPr>
            <w:r w:rsidRPr="00B20BDD">
              <w:rPr>
                <w:b/>
                <w:bCs/>
                <w:sz w:val="20"/>
                <w:szCs w:val="16"/>
              </w:rPr>
              <w:t>Stanje obveza na 31.12.2022. u kunama</w:t>
            </w:r>
          </w:p>
        </w:tc>
      </w:tr>
      <w:tr w:rsidR="00CF3957" w:rsidRPr="002B00C2" w14:paraId="414D0C69"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B61E555" w14:textId="77777777" w:rsidR="00CF3957" w:rsidRPr="002B00C2" w:rsidRDefault="00CF3957" w:rsidP="001E71E3">
            <w:pPr>
              <w:jc w:val="center"/>
              <w:rPr>
                <w:sz w:val="16"/>
                <w:szCs w:val="16"/>
              </w:rPr>
            </w:pPr>
            <w:r w:rsidRPr="002B00C2">
              <w:rPr>
                <w:sz w:val="16"/>
                <w:szCs w:val="16"/>
              </w:rPr>
              <w:t>1.</w:t>
            </w:r>
          </w:p>
        </w:tc>
        <w:tc>
          <w:tcPr>
            <w:tcW w:w="3196" w:type="dxa"/>
            <w:tcBorders>
              <w:top w:val="nil"/>
              <w:left w:val="nil"/>
              <w:bottom w:val="single" w:sz="4" w:space="0" w:color="auto"/>
              <w:right w:val="single" w:sz="4" w:space="0" w:color="auto"/>
            </w:tcBorders>
            <w:shd w:val="clear" w:color="auto" w:fill="auto"/>
            <w:noWrap/>
            <w:vAlign w:val="bottom"/>
            <w:hideMark/>
          </w:tcPr>
          <w:p w14:paraId="75A7E576" w14:textId="77777777" w:rsidR="00CF3957" w:rsidRPr="00B20BDD" w:rsidRDefault="00CF3957" w:rsidP="001E71E3">
            <w:pPr>
              <w:rPr>
                <w:sz w:val="20"/>
                <w:szCs w:val="16"/>
              </w:rPr>
            </w:pPr>
            <w:r w:rsidRPr="00B20BDD">
              <w:rPr>
                <w:sz w:val="20"/>
                <w:szCs w:val="16"/>
              </w:rPr>
              <w:t xml:space="preserve">Kraljevina Belgija </w:t>
            </w:r>
            <w:proofErr w:type="spellStart"/>
            <w:r w:rsidRPr="00B20BDD">
              <w:rPr>
                <w:sz w:val="20"/>
                <w:szCs w:val="16"/>
              </w:rPr>
              <w:t>Loan</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451ADC2C" w14:textId="77777777" w:rsidR="00CF3957" w:rsidRPr="002B00C2" w:rsidRDefault="00CF3957" w:rsidP="001E71E3">
            <w:pPr>
              <w:jc w:val="center"/>
              <w:rPr>
                <w:sz w:val="16"/>
                <w:szCs w:val="16"/>
              </w:rPr>
            </w:pPr>
            <w:r w:rsidRPr="002B00C2">
              <w:rPr>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14:paraId="327D6B03" w14:textId="77777777" w:rsidR="00CF3957" w:rsidRPr="002B00C2" w:rsidRDefault="00CF3957" w:rsidP="001E71E3">
            <w:pPr>
              <w:jc w:val="center"/>
              <w:rPr>
                <w:sz w:val="16"/>
                <w:szCs w:val="16"/>
              </w:rPr>
            </w:pPr>
            <w:r w:rsidRPr="002B00C2">
              <w:rPr>
                <w:sz w:val="16"/>
                <w:szCs w:val="16"/>
              </w:rPr>
              <w:t>EUR</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14:paraId="107F2291" w14:textId="77777777" w:rsidR="00CF3957" w:rsidRPr="00B20BDD" w:rsidRDefault="00CF3957" w:rsidP="001E71E3">
            <w:pPr>
              <w:jc w:val="right"/>
              <w:rPr>
                <w:sz w:val="20"/>
                <w:szCs w:val="16"/>
              </w:rPr>
            </w:pPr>
            <w:r w:rsidRPr="00B20BDD">
              <w:rPr>
                <w:sz w:val="20"/>
                <w:szCs w:val="16"/>
              </w:rPr>
              <w:t>185.838,73</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85DCB4C" w14:textId="77777777" w:rsidR="00CF3957" w:rsidRPr="00B20BDD" w:rsidRDefault="00CF3957" w:rsidP="001E71E3">
            <w:pPr>
              <w:jc w:val="right"/>
              <w:rPr>
                <w:sz w:val="20"/>
                <w:szCs w:val="16"/>
              </w:rPr>
            </w:pPr>
            <w:r w:rsidRPr="00B20BDD">
              <w:rPr>
                <w:sz w:val="20"/>
                <w:szCs w:val="16"/>
              </w:rPr>
              <w:t>1.400.201,91</w:t>
            </w:r>
          </w:p>
        </w:tc>
      </w:tr>
      <w:tr w:rsidR="00CF3957" w:rsidRPr="002B00C2" w14:paraId="0FB62056" w14:textId="77777777" w:rsidTr="001E71E3">
        <w:trPr>
          <w:trHeight w:val="27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3E1DDE7" w14:textId="77777777" w:rsidR="00CF3957" w:rsidRPr="002B00C2" w:rsidRDefault="00CF3957" w:rsidP="001E71E3">
            <w:pPr>
              <w:jc w:val="center"/>
              <w:rPr>
                <w:sz w:val="16"/>
                <w:szCs w:val="16"/>
              </w:rPr>
            </w:pPr>
            <w:r w:rsidRPr="002B00C2">
              <w:rPr>
                <w:sz w:val="16"/>
                <w:szCs w:val="16"/>
              </w:rPr>
              <w:t>2.</w:t>
            </w:r>
          </w:p>
        </w:tc>
        <w:tc>
          <w:tcPr>
            <w:tcW w:w="3196" w:type="dxa"/>
            <w:tcBorders>
              <w:top w:val="nil"/>
              <w:left w:val="nil"/>
              <w:bottom w:val="single" w:sz="4" w:space="0" w:color="auto"/>
              <w:right w:val="single" w:sz="4" w:space="0" w:color="auto"/>
            </w:tcBorders>
            <w:shd w:val="clear" w:color="auto" w:fill="auto"/>
            <w:noWrap/>
            <w:vAlign w:val="bottom"/>
            <w:hideMark/>
          </w:tcPr>
          <w:p w14:paraId="4B0AC4E1" w14:textId="77777777" w:rsidR="00CF3957" w:rsidRPr="00B20BDD" w:rsidRDefault="00CF3957" w:rsidP="001E71E3">
            <w:pPr>
              <w:rPr>
                <w:sz w:val="20"/>
                <w:szCs w:val="16"/>
              </w:rPr>
            </w:pPr>
            <w:r w:rsidRPr="00B20BDD">
              <w:rPr>
                <w:sz w:val="20"/>
                <w:szCs w:val="16"/>
              </w:rPr>
              <w:t>Paris Club - 2055</w:t>
            </w:r>
          </w:p>
        </w:tc>
        <w:tc>
          <w:tcPr>
            <w:tcW w:w="680" w:type="dxa"/>
            <w:tcBorders>
              <w:top w:val="nil"/>
              <w:left w:val="nil"/>
              <w:bottom w:val="single" w:sz="4" w:space="0" w:color="auto"/>
              <w:right w:val="single" w:sz="4" w:space="0" w:color="auto"/>
            </w:tcBorders>
            <w:shd w:val="clear" w:color="auto" w:fill="auto"/>
            <w:noWrap/>
            <w:vAlign w:val="bottom"/>
            <w:hideMark/>
          </w:tcPr>
          <w:p w14:paraId="772FBD08" w14:textId="77777777" w:rsidR="00CF3957" w:rsidRPr="002B00C2" w:rsidRDefault="00CF3957" w:rsidP="001E71E3">
            <w:pPr>
              <w:jc w:val="center"/>
              <w:rPr>
                <w:sz w:val="16"/>
                <w:szCs w:val="16"/>
              </w:rPr>
            </w:pPr>
            <w:r w:rsidRPr="002B00C2">
              <w:rPr>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14:paraId="7D73DF2D" w14:textId="77777777" w:rsidR="00CF3957" w:rsidRPr="002B00C2" w:rsidRDefault="00CF3957" w:rsidP="001E71E3">
            <w:pPr>
              <w:jc w:val="center"/>
              <w:rPr>
                <w:sz w:val="16"/>
                <w:szCs w:val="16"/>
              </w:rPr>
            </w:pPr>
            <w:r w:rsidRPr="002B00C2">
              <w:rPr>
                <w:sz w:val="16"/>
                <w:szCs w:val="16"/>
              </w:rPr>
              <w:t>EUR</w:t>
            </w:r>
          </w:p>
        </w:tc>
        <w:tc>
          <w:tcPr>
            <w:tcW w:w="1944" w:type="dxa"/>
            <w:tcBorders>
              <w:top w:val="nil"/>
              <w:left w:val="nil"/>
              <w:bottom w:val="single" w:sz="4" w:space="0" w:color="auto"/>
              <w:right w:val="single" w:sz="4" w:space="0" w:color="auto"/>
            </w:tcBorders>
            <w:shd w:val="clear" w:color="auto" w:fill="auto"/>
            <w:noWrap/>
            <w:vAlign w:val="bottom"/>
            <w:hideMark/>
          </w:tcPr>
          <w:p w14:paraId="6145CA8A" w14:textId="77777777" w:rsidR="00CF3957" w:rsidRPr="00B20BDD" w:rsidRDefault="00CF3957" w:rsidP="001E71E3">
            <w:pPr>
              <w:jc w:val="right"/>
              <w:rPr>
                <w:sz w:val="20"/>
                <w:szCs w:val="16"/>
              </w:rPr>
            </w:pPr>
            <w:r w:rsidRPr="00B20BDD">
              <w:rPr>
                <w:sz w:val="20"/>
                <w:szCs w:val="16"/>
              </w:rPr>
              <w:t>34.960.093,67</w:t>
            </w:r>
          </w:p>
        </w:tc>
        <w:tc>
          <w:tcPr>
            <w:tcW w:w="1780" w:type="dxa"/>
            <w:tcBorders>
              <w:top w:val="nil"/>
              <w:left w:val="nil"/>
              <w:bottom w:val="single" w:sz="4" w:space="0" w:color="auto"/>
              <w:right w:val="single" w:sz="4" w:space="0" w:color="auto"/>
            </w:tcBorders>
            <w:shd w:val="clear" w:color="auto" w:fill="auto"/>
            <w:noWrap/>
            <w:vAlign w:val="bottom"/>
            <w:hideMark/>
          </w:tcPr>
          <w:p w14:paraId="4D780073" w14:textId="77777777" w:rsidR="00CF3957" w:rsidRPr="00B20BDD" w:rsidRDefault="00CF3957" w:rsidP="001E71E3">
            <w:pPr>
              <w:jc w:val="right"/>
              <w:rPr>
                <w:sz w:val="20"/>
                <w:szCs w:val="16"/>
              </w:rPr>
            </w:pPr>
            <w:r w:rsidRPr="00B20BDD">
              <w:rPr>
                <w:sz w:val="20"/>
                <w:szCs w:val="16"/>
              </w:rPr>
              <w:t>263.406.825,76</w:t>
            </w:r>
          </w:p>
        </w:tc>
      </w:tr>
      <w:tr w:rsidR="00CF3957" w:rsidRPr="002B00C2" w14:paraId="3BDA2127" w14:textId="77777777" w:rsidTr="001E71E3">
        <w:trPr>
          <w:trHeight w:val="27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32D93" w14:textId="77777777" w:rsidR="00CF3957" w:rsidRPr="002B00C2" w:rsidRDefault="00CF3957" w:rsidP="001E71E3">
            <w:pPr>
              <w:jc w:val="center"/>
              <w:rPr>
                <w:b/>
                <w:bCs/>
                <w:sz w:val="16"/>
                <w:szCs w:val="16"/>
              </w:rPr>
            </w:pPr>
          </w:p>
        </w:tc>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8524B" w14:textId="77777777" w:rsidR="00CF3957" w:rsidRPr="002B00C2" w:rsidRDefault="00CF3957" w:rsidP="001E71E3">
            <w:pPr>
              <w:rPr>
                <w:sz w:val="16"/>
                <w:szCs w:val="16"/>
              </w:rPr>
            </w:pPr>
            <w:r w:rsidRPr="002B00C2">
              <w:rPr>
                <w:sz w:val="16"/>
                <w:szCs w:val="16"/>
              </w:rPr>
              <w:t> </w:t>
            </w:r>
            <w:r w:rsidRPr="002B00C2">
              <w:rPr>
                <w:b/>
                <w:bCs/>
                <w:sz w:val="16"/>
                <w:szCs w:val="16"/>
              </w:rPr>
              <w:t>UKUPNO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9E4AE" w14:textId="77777777" w:rsidR="00CF3957" w:rsidRPr="002B00C2" w:rsidRDefault="00CF3957" w:rsidP="001E71E3">
            <w:pPr>
              <w:jc w:val="center"/>
              <w:rPr>
                <w:sz w:val="16"/>
                <w:szCs w:val="16"/>
              </w:rPr>
            </w:pPr>
            <w:r w:rsidRPr="002B00C2">
              <w:rPr>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6D475" w14:textId="77777777" w:rsidR="00CF3957" w:rsidRPr="002B00C2" w:rsidRDefault="00CF3957" w:rsidP="001E71E3">
            <w:pPr>
              <w:jc w:val="center"/>
              <w:rPr>
                <w:b/>
                <w:bCs/>
                <w:sz w:val="16"/>
                <w:szCs w:val="16"/>
              </w:rPr>
            </w:pPr>
            <w:r w:rsidRPr="002B00C2">
              <w:rPr>
                <w:b/>
                <w:bCs/>
                <w:sz w:val="16"/>
                <w:szCs w:val="16"/>
              </w:rPr>
              <w:t>EUR</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600C" w14:textId="77777777" w:rsidR="00CF3957" w:rsidRPr="00B20BDD" w:rsidRDefault="00CF3957" w:rsidP="001E71E3">
            <w:pPr>
              <w:jc w:val="right"/>
              <w:rPr>
                <w:b/>
                <w:bCs/>
                <w:sz w:val="20"/>
                <w:szCs w:val="16"/>
              </w:rPr>
            </w:pPr>
            <w:r w:rsidRPr="00B20BDD">
              <w:rPr>
                <w:b/>
                <w:bCs/>
                <w:sz w:val="20"/>
                <w:szCs w:val="16"/>
              </w:rPr>
              <w:t>35.145.932,40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E9A82" w14:textId="77777777" w:rsidR="00CF3957" w:rsidRPr="00B20BDD" w:rsidRDefault="00CF3957" w:rsidP="001E71E3">
            <w:pPr>
              <w:jc w:val="right"/>
              <w:rPr>
                <w:b/>
                <w:bCs/>
                <w:sz w:val="20"/>
                <w:szCs w:val="16"/>
              </w:rPr>
            </w:pPr>
            <w:r w:rsidRPr="00B20BDD">
              <w:rPr>
                <w:b/>
                <w:bCs/>
                <w:sz w:val="20"/>
                <w:szCs w:val="16"/>
              </w:rPr>
              <w:t>264.807.027,67</w:t>
            </w:r>
          </w:p>
        </w:tc>
      </w:tr>
    </w:tbl>
    <w:p w14:paraId="3A36AA4A" w14:textId="77777777" w:rsidR="00CF3957" w:rsidRDefault="00CF3957" w:rsidP="00CF3957">
      <w:pPr>
        <w:tabs>
          <w:tab w:val="left" w:pos="360"/>
        </w:tabs>
        <w:jc w:val="both"/>
        <w:rPr>
          <w:color w:val="FF0000"/>
        </w:rPr>
      </w:pPr>
    </w:p>
    <w:p w14:paraId="5E2F998B" w14:textId="77777777" w:rsidR="00CF3957" w:rsidRPr="003B30B6" w:rsidRDefault="00CF3957" w:rsidP="00CF3957">
      <w:pPr>
        <w:jc w:val="both"/>
        <w:rPr>
          <w:bCs/>
          <w:szCs w:val="28"/>
        </w:rPr>
      </w:pPr>
    </w:p>
    <w:p w14:paraId="63226055" w14:textId="77777777" w:rsidR="00CF3957" w:rsidRPr="003B30B6" w:rsidRDefault="00CF3957" w:rsidP="00CF3957">
      <w:pPr>
        <w:jc w:val="center"/>
        <w:rPr>
          <w:bCs/>
        </w:rPr>
      </w:pPr>
    </w:p>
    <w:p w14:paraId="38D679DE" w14:textId="77777777" w:rsidR="00CF3957" w:rsidRPr="00C85DCC" w:rsidRDefault="00CF3957" w:rsidP="00CF3957">
      <w:pPr>
        <w:keepNext/>
        <w:jc w:val="center"/>
        <w:rPr>
          <w:bCs/>
          <w:sz w:val="28"/>
          <w:szCs w:val="28"/>
        </w:rPr>
      </w:pPr>
      <w:r>
        <w:rPr>
          <w:bCs/>
          <w:sz w:val="28"/>
          <w:szCs w:val="28"/>
        </w:rPr>
        <w:lastRenderedPageBreak/>
        <w:t>Bilješka 30</w:t>
      </w:r>
      <w:r w:rsidRPr="00C85DCC">
        <w:rPr>
          <w:bCs/>
          <w:sz w:val="28"/>
          <w:szCs w:val="28"/>
        </w:rPr>
        <w:t>.</w:t>
      </w:r>
    </w:p>
    <w:p w14:paraId="170DFD16" w14:textId="77777777" w:rsidR="00CF3957" w:rsidRPr="00C2390B" w:rsidRDefault="00CF3957" w:rsidP="00CF3957">
      <w:pPr>
        <w:keepNext/>
        <w:jc w:val="center"/>
        <w:rPr>
          <w:bCs/>
          <w:sz w:val="28"/>
          <w:szCs w:val="28"/>
        </w:rPr>
      </w:pPr>
      <w:r>
        <w:rPr>
          <w:bCs/>
          <w:sz w:val="28"/>
          <w:szCs w:val="28"/>
        </w:rPr>
        <w:t>Šifra 29</w:t>
      </w:r>
      <w:r w:rsidRPr="00C2390B">
        <w:rPr>
          <w:bCs/>
          <w:sz w:val="28"/>
          <w:szCs w:val="28"/>
        </w:rPr>
        <w:t xml:space="preserve"> Odgođeno plaćanje rashoda i prihodi budućih razdoblja</w:t>
      </w:r>
    </w:p>
    <w:p w14:paraId="0EB2FAC1" w14:textId="77777777" w:rsidR="00CF3957" w:rsidRDefault="00CF3957" w:rsidP="00CF3957">
      <w:pPr>
        <w:keepNext/>
        <w:jc w:val="both"/>
        <w:rPr>
          <w:bCs/>
        </w:rPr>
      </w:pPr>
    </w:p>
    <w:p w14:paraId="034A75B7" w14:textId="77777777" w:rsidR="00CF3957" w:rsidRPr="003B30B6" w:rsidRDefault="00CF3957" w:rsidP="00CF3957">
      <w:pPr>
        <w:keepNext/>
        <w:jc w:val="both"/>
        <w:rPr>
          <w:bCs/>
        </w:rPr>
      </w:pPr>
      <w:r w:rsidRPr="00C2390B">
        <w:rPr>
          <w:bCs/>
        </w:rPr>
        <w:t xml:space="preserve">Od ukupnog iznosa evidentiranog na </w:t>
      </w:r>
      <w:r>
        <w:rPr>
          <w:bCs/>
        </w:rPr>
        <w:t>31. prosinca 2022. godine u iznosu od</w:t>
      </w:r>
      <w:r w:rsidRPr="00C2390B">
        <w:rPr>
          <w:bCs/>
        </w:rPr>
        <w:t xml:space="preserve"> </w:t>
      </w:r>
      <w:r>
        <w:rPr>
          <w:bCs/>
        </w:rPr>
        <w:t>683.746.986,29</w:t>
      </w:r>
      <w:r w:rsidRPr="00C2390B">
        <w:rPr>
          <w:bCs/>
        </w:rPr>
        <w:t xml:space="preserve"> kuna, najznačajniji iznosi odnose se na premiju na obveznice u iznosu od </w:t>
      </w:r>
      <w:r>
        <w:rPr>
          <w:bCs/>
        </w:rPr>
        <w:t>617.918.083,76</w:t>
      </w:r>
      <w:r w:rsidRPr="00CC1C88">
        <w:rPr>
          <w:bCs/>
        </w:rPr>
        <w:t xml:space="preserve"> kuna i na premiju za </w:t>
      </w:r>
      <w:r w:rsidRPr="00CC1C88">
        <w:t>instrument SURE Europske unije</w:t>
      </w:r>
      <w:r>
        <w:t xml:space="preserve"> u iznosu od 65.733.991,80 kuna</w:t>
      </w:r>
      <w:r w:rsidRPr="00CC1C88">
        <w:rPr>
          <w:bCs/>
        </w:rPr>
        <w:t>.</w:t>
      </w:r>
    </w:p>
    <w:p w14:paraId="5A92986A" w14:textId="77777777" w:rsidR="00CF3957" w:rsidRPr="003B30B6" w:rsidRDefault="00CF3957" w:rsidP="00CF3957">
      <w:pPr>
        <w:keepNext/>
        <w:jc w:val="both"/>
        <w:rPr>
          <w:bCs/>
        </w:rPr>
      </w:pPr>
    </w:p>
    <w:p w14:paraId="44EDF76C" w14:textId="77777777" w:rsidR="00CF3957" w:rsidRDefault="00CF3957" w:rsidP="00CF3957">
      <w:pPr>
        <w:keepNext/>
        <w:jc w:val="center"/>
        <w:rPr>
          <w:bCs/>
          <w:sz w:val="28"/>
          <w:szCs w:val="28"/>
        </w:rPr>
      </w:pPr>
    </w:p>
    <w:p w14:paraId="7839BDB4" w14:textId="77777777" w:rsidR="00CF3957" w:rsidRPr="00C85DCC" w:rsidRDefault="00CF3957" w:rsidP="00CF3957">
      <w:pPr>
        <w:keepNext/>
        <w:jc w:val="center"/>
        <w:rPr>
          <w:bCs/>
          <w:sz w:val="28"/>
          <w:szCs w:val="28"/>
        </w:rPr>
      </w:pPr>
      <w:r>
        <w:rPr>
          <w:bCs/>
          <w:sz w:val="28"/>
          <w:szCs w:val="28"/>
        </w:rPr>
        <w:t>Bilješka 31</w:t>
      </w:r>
      <w:r w:rsidRPr="00C85DCC">
        <w:rPr>
          <w:bCs/>
          <w:sz w:val="28"/>
          <w:szCs w:val="28"/>
        </w:rPr>
        <w:t>.</w:t>
      </w:r>
    </w:p>
    <w:p w14:paraId="5A2F8991" w14:textId="77777777" w:rsidR="00CF3957" w:rsidRPr="00C2390B" w:rsidRDefault="00CF3957" w:rsidP="00CF3957">
      <w:pPr>
        <w:keepNext/>
        <w:jc w:val="center"/>
        <w:rPr>
          <w:bCs/>
          <w:sz w:val="28"/>
          <w:szCs w:val="28"/>
        </w:rPr>
      </w:pPr>
      <w:r>
        <w:rPr>
          <w:bCs/>
          <w:sz w:val="28"/>
          <w:szCs w:val="28"/>
        </w:rPr>
        <w:t>Šifra 991 i 996</w:t>
      </w:r>
      <w:r w:rsidRPr="00C2390B">
        <w:rPr>
          <w:bCs/>
          <w:sz w:val="28"/>
          <w:szCs w:val="28"/>
        </w:rPr>
        <w:t xml:space="preserve"> </w:t>
      </w:r>
      <w:proofErr w:type="spellStart"/>
      <w:r w:rsidRPr="00C2390B">
        <w:rPr>
          <w:bCs/>
          <w:sz w:val="28"/>
          <w:szCs w:val="28"/>
        </w:rPr>
        <w:t>Izvanbilančni</w:t>
      </w:r>
      <w:proofErr w:type="spellEnd"/>
      <w:r w:rsidRPr="00C2390B">
        <w:rPr>
          <w:bCs/>
          <w:sz w:val="28"/>
          <w:szCs w:val="28"/>
        </w:rPr>
        <w:t xml:space="preserve"> zapisi </w:t>
      </w:r>
    </w:p>
    <w:p w14:paraId="6CBD5E28" w14:textId="77777777" w:rsidR="00CF3957" w:rsidRDefault="00CF3957" w:rsidP="00CF3957">
      <w:pPr>
        <w:keepNext/>
        <w:jc w:val="both"/>
        <w:rPr>
          <w:bCs/>
        </w:rPr>
      </w:pPr>
    </w:p>
    <w:p w14:paraId="37D2269C" w14:textId="77777777" w:rsidR="00CF3957" w:rsidRPr="00C2390B" w:rsidRDefault="00CF3957" w:rsidP="00CF3957">
      <w:pPr>
        <w:keepNext/>
        <w:jc w:val="both"/>
        <w:rPr>
          <w:bCs/>
        </w:rPr>
      </w:pPr>
      <w:r w:rsidRPr="00C2390B">
        <w:rPr>
          <w:bCs/>
        </w:rPr>
        <w:t xml:space="preserve">Na </w:t>
      </w:r>
      <w:r>
        <w:rPr>
          <w:bCs/>
        </w:rPr>
        <w:t xml:space="preserve">dan 31. prosinca 2022. godine na </w:t>
      </w:r>
      <w:proofErr w:type="spellStart"/>
      <w:r w:rsidRPr="00C2390B">
        <w:rPr>
          <w:bCs/>
        </w:rPr>
        <w:t>izvanbilančnim</w:t>
      </w:r>
      <w:proofErr w:type="spellEnd"/>
      <w:r w:rsidRPr="00C2390B">
        <w:rPr>
          <w:bCs/>
        </w:rPr>
        <w:t xml:space="preserve"> zapisima evidentiran je iznos od </w:t>
      </w:r>
      <w:r w:rsidRPr="006C3808">
        <w:rPr>
          <w:bCs/>
        </w:rPr>
        <w:t>53.101.531.229,24</w:t>
      </w:r>
      <w:r>
        <w:rPr>
          <w:bCs/>
        </w:rPr>
        <w:t xml:space="preserve"> </w:t>
      </w:r>
      <w:r w:rsidRPr="00C2390B">
        <w:rPr>
          <w:bCs/>
        </w:rPr>
        <w:t xml:space="preserve">kuna, a odnosi se na </w:t>
      </w:r>
      <w:proofErr w:type="spellStart"/>
      <w:r w:rsidRPr="00C2390B">
        <w:rPr>
          <w:bCs/>
        </w:rPr>
        <w:t>izvanbilančnu</w:t>
      </w:r>
      <w:proofErr w:type="spellEnd"/>
      <w:r w:rsidRPr="00C2390B">
        <w:rPr>
          <w:bCs/>
        </w:rPr>
        <w:t xml:space="preserve"> evidenciju: </w:t>
      </w:r>
    </w:p>
    <w:p w14:paraId="141FEEBD" w14:textId="77777777" w:rsidR="00CF3957" w:rsidRPr="00C2390B" w:rsidRDefault="00CF3957" w:rsidP="00CF3957">
      <w:pPr>
        <w:keepNext/>
        <w:numPr>
          <w:ilvl w:val="0"/>
          <w:numId w:val="6"/>
        </w:numPr>
        <w:tabs>
          <w:tab w:val="decimal" w:pos="8820"/>
        </w:tabs>
        <w:jc w:val="both"/>
        <w:rPr>
          <w:bCs/>
        </w:rPr>
      </w:pPr>
      <w:r w:rsidRPr="00C2390B">
        <w:rPr>
          <w:bCs/>
        </w:rPr>
        <w:t>jamst</w:t>
      </w:r>
      <w:r>
        <w:rPr>
          <w:bCs/>
        </w:rPr>
        <w:t>a</w:t>
      </w:r>
      <w:r w:rsidRPr="00C2390B">
        <w:rPr>
          <w:bCs/>
        </w:rPr>
        <w:t xml:space="preserve">va </w:t>
      </w:r>
      <w:r w:rsidRPr="00C2390B">
        <w:rPr>
          <w:bCs/>
        </w:rPr>
        <w:tab/>
      </w:r>
      <w:r>
        <w:rPr>
          <w:bCs/>
        </w:rPr>
        <w:t>30.328.596.297,14</w:t>
      </w:r>
    </w:p>
    <w:p w14:paraId="281687C0" w14:textId="77777777" w:rsidR="00CF3957" w:rsidRPr="00C2390B" w:rsidRDefault="00CF3957" w:rsidP="00CF3957">
      <w:pPr>
        <w:keepNext/>
        <w:numPr>
          <w:ilvl w:val="0"/>
          <w:numId w:val="6"/>
        </w:numPr>
        <w:tabs>
          <w:tab w:val="decimal" w:pos="8820"/>
        </w:tabs>
        <w:jc w:val="both"/>
        <w:rPr>
          <w:bCs/>
        </w:rPr>
      </w:pPr>
      <w:r w:rsidRPr="00C2390B">
        <w:rPr>
          <w:bCs/>
        </w:rPr>
        <w:t>međunarodni</w:t>
      </w:r>
      <w:r>
        <w:rPr>
          <w:bCs/>
        </w:rPr>
        <w:t>h</w:t>
      </w:r>
      <w:r w:rsidRPr="00C2390B">
        <w:rPr>
          <w:bCs/>
        </w:rPr>
        <w:t xml:space="preserve"> zajmovi dani</w:t>
      </w:r>
      <w:r>
        <w:rPr>
          <w:bCs/>
        </w:rPr>
        <w:t>h</w:t>
      </w:r>
      <w:r w:rsidRPr="00C2390B">
        <w:rPr>
          <w:bCs/>
        </w:rPr>
        <w:t xml:space="preserve"> uz državno jamstvo </w:t>
      </w:r>
      <w:r w:rsidRPr="00C2390B">
        <w:rPr>
          <w:bCs/>
        </w:rPr>
        <w:tab/>
      </w:r>
      <w:r>
        <w:rPr>
          <w:bCs/>
        </w:rPr>
        <w:t>21.492.601.297,13</w:t>
      </w:r>
    </w:p>
    <w:p w14:paraId="0362A858" w14:textId="77777777" w:rsidR="00CF3957" w:rsidRPr="00C2390B" w:rsidRDefault="00CF3957" w:rsidP="00CF3957">
      <w:pPr>
        <w:keepNext/>
        <w:numPr>
          <w:ilvl w:val="0"/>
          <w:numId w:val="6"/>
        </w:numPr>
        <w:tabs>
          <w:tab w:val="decimal" w:pos="8820"/>
        </w:tabs>
        <w:jc w:val="both"/>
        <w:rPr>
          <w:bCs/>
        </w:rPr>
      </w:pPr>
      <w:r w:rsidRPr="00C2390B">
        <w:rPr>
          <w:bCs/>
        </w:rPr>
        <w:t>potencijalne obveze po sudskim sporovima Ministarstva financija</w:t>
      </w:r>
    </w:p>
    <w:p w14:paraId="7AE0F867" w14:textId="77777777" w:rsidR="00CF3957" w:rsidRDefault="00CF3957" w:rsidP="00CF3957">
      <w:pPr>
        <w:keepNext/>
        <w:tabs>
          <w:tab w:val="decimal" w:pos="8820"/>
        </w:tabs>
        <w:ind w:left="360"/>
        <w:jc w:val="both"/>
        <w:rPr>
          <w:bCs/>
        </w:rPr>
      </w:pPr>
      <w:r w:rsidRPr="00C2390B">
        <w:rPr>
          <w:bCs/>
        </w:rPr>
        <w:t>- bivšeg Fonda za naknadu oduzete imovine</w:t>
      </w:r>
      <w:r w:rsidRPr="00C2390B">
        <w:rPr>
          <w:bCs/>
        </w:rPr>
        <w:tab/>
      </w:r>
      <w:r>
        <w:rPr>
          <w:bCs/>
        </w:rPr>
        <w:t>5.333.652,97</w:t>
      </w:r>
    </w:p>
    <w:p w14:paraId="23A68FB7" w14:textId="77777777" w:rsidR="00CF3957" w:rsidRPr="006C3808" w:rsidRDefault="00CF3957" w:rsidP="00CF3957">
      <w:pPr>
        <w:pStyle w:val="Odlomakpopisa"/>
        <w:keepNext/>
        <w:numPr>
          <w:ilvl w:val="0"/>
          <w:numId w:val="37"/>
        </w:numPr>
        <w:tabs>
          <w:tab w:val="decimal" w:pos="8820"/>
        </w:tabs>
        <w:ind w:left="709"/>
        <w:jc w:val="both"/>
        <w:rPr>
          <w:bCs/>
        </w:rPr>
      </w:pPr>
      <w:r>
        <w:rPr>
          <w:bCs/>
        </w:rPr>
        <w:t>f</w:t>
      </w:r>
      <w:r w:rsidRPr="006C3808">
        <w:rPr>
          <w:bCs/>
        </w:rPr>
        <w:t xml:space="preserve">inancijskih instrumenata iz Nacionalnog plana </w:t>
      </w:r>
      <w:r>
        <w:rPr>
          <w:bCs/>
        </w:rPr>
        <w:t>oporavka i otpornosti  1.275.000.000,00</w:t>
      </w:r>
    </w:p>
    <w:p w14:paraId="47E4228B" w14:textId="77777777" w:rsidR="00CF3957" w:rsidRPr="00C2390B" w:rsidRDefault="00CF3957" w:rsidP="00CF3957">
      <w:pPr>
        <w:jc w:val="both"/>
        <w:rPr>
          <w:bCs/>
        </w:rPr>
      </w:pPr>
    </w:p>
    <w:p w14:paraId="160DF7C7" w14:textId="77777777" w:rsidR="00CF3957" w:rsidRDefault="00CF3957" w:rsidP="00CF3957">
      <w:pPr>
        <w:jc w:val="both"/>
        <w:rPr>
          <w:bCs/>
        </w:rPr>
      </w:pPr>
      <w:r w:rsidRPr="00C2390B">
        <w:rPr>
          <w:bCs/>
        </w:rPr>
        <w:t>Podaci o potencijalnim obvezama po sudskim sporovima razvrstani prema organizacijskoj klasifikaciji državnog proračuna daju se u Dodatku 1. Iskazani su u financijskim izvještajima proračunskih korisnika državnog proračuna razine 11, pa se stoga ne iskazuju u financijskom izvještaju državnog proračuna (razina 13).</w:t>
      </w:r>
    </w:p>
    <w:p w14:paraId="30E7597F" w14:textId="77777777" w:rsidR="00CF3957" w:rsidRPr="003B30B6" w:rsidRDefault="00CF3957" w:rsidP="00CF3957">
      <w:pPr>
        <w:jc w:val="both"/>
        <w:rPr>
          <w:bCs/>
        </w:rPr>
      </w:pPr>
    </w:p>
    <w:p w14:paraId="36612C90" w14:textId="77777777" w:rsidR="00CF3957" w:rsidRPr="003B30B6" w:rsidRDefault="00CF3957" w:rsidP="00CF3957">
      <w:pPr>
        <w:jc w:val="both"/>
        <w:rPr>
          <w:b/>
          <w:bCs/>
          <w:u w:val="single"/>
        </w:rPr>
      </w:pPr>
    </w:p>
    <w:p w14:paraId="48F75878" w14:textId="77777777" w:rsidR="00CF3957" w:rsidRPr="00C2390B" w:rsidRDefault="00CF3957" w:rsidP="00CF3957">
      <w:pPr>
        <w:jc w:val="both"/>
        <w:rPr>
          <w:b/>
          <w:bCs/>
          <w:u w:val="single"/>
        </w:rPr>
      </w:pPr>
      <w:r w:rsidRPr="00C2390B">
        <w:rPr>
          <w:b/>
          <w:bCs/>
          <w:u w:val="single"/>
        </w:rPr>
        <w:t>Obvezne Bilješke uz Bilancu</w:t>
      </w:r>
    </w:p>
    <w:p w14:paraId="5409CA5C" w14:textId="77777777" w:rsidR="00CF3957" w:rsidRPr="00C2390B" w:rsidRDefault="00CF3957" w:rsidP="00CF3957">
      <w:pPr>
        <w:jc w:val="both"/>
        <w:rPr>
          <w:bCs/>
        </w:rPr>
      </w:pPr>
    </w:p>
    <w:p w14:paraId="16A5124D" w14:textId="77777777" w:rsidR="00CF3957" w:rsidRPr="00C2390B" w:rsidRDefault="00CF3957" w:rsidP="00CF3957">
      <w:pPr>
        <w:jc w:val="both"/>
        <w:rPr>
          <w:bCs/>
        </w:rPr>
      </w:pPr>
      <w:r w:rsidRPr="00C2390B">
        <w:rPr>
          <w:bCs/>
        </w:rPr>
        <w:t>Pravilnik</w:t>
      </w:r>
      <w:r>
        <w:rPr>
          <w:bCs/>
        </w:rPr>
        <w:t>om</w:t>
      </w:r>
      <w:r w:rsidRPr="00C2390B">
        <w:rPr>
          <w:bCs/>
        </w:rPr>
        <w:t xml:space="preserve"> o financijskom izvještavanju u proračunskom računovodstvu (Narodne novine, br. </w:t>
      </w:r>
      <w:r>
        <w:rPr>
          <w:bCs/>
        </w:rPr>
        <w:t>37</w:t>
      </w:r>
      <w:r w:rsidRPr="00C2390B">
        <w:rPr>
          <w:bCs/>
        </w:rPr>
        <w:t>/</w:t>
      </w:r>
      <w:r>
        <w:rPr>
          <w:bCs/>
        </w:rPr>
        <w:t>22</w:t>
      </w:r>
      <w:r w:rsidRPr="00C2390B">
        <w:rPr>
          <w:bCs/>
        </w:rPr>
        <w:t xml:space="preserve">) </w:t>
      </w:r>
      <w:r>
        <w:rPr>
          <w:bCs/>
        </w:rPr>
        <w:t xml:space="preserve">u članku 15. propisan </w:t>
      </w:r>
      <w:r w:rsidRPr="00C2390B">
        <w:rPr>
          <w:bCs/>
        </w:rPr>
        <w:t>je sadržaj obveznih Bilješki uz Bilancu</w:t>
      </w:r>
      <w:r>
        <w:rPr>
          <w:bCs/>
        </w:rPr>
        <w:t>.</w:t>
      </w:r>
    </w:p>
    <w:p w14:paraId="55BBD682" w14:textId="77777777" w:rsidR="00CF3957" w:rsidRDefault="00CF3957" w:rsidP="00CF3957">
      <w:pPr>
        <w:jc w:val="both"/>
      </w:pPr>
      <w:r>
        <w:t xml:space="preserve"> Obvezne Bilješke uz Bilancu jesu:</w:t>
      </w:r>
    </w:p>
    <w:p w14:paraId="22211E75" w14:textId="77777777" w:rsidR="00CF3957" w:rsidRDefault="00CF3957" w:rsidP="00CF3957">
      <w:pPr>
        <w:pStyle w:val="Odlomakpopisa"/>
        <w:numPr>
          <w:ilvl w:val="0"/>
          <w:numId w:val="34"/>
        </w:numPr>
        <w:jc w:val="both"/>
      </w:pPr>
      <w:r>
        <w:t>Popis ugovornih odnosa i slično koji uz ispunjenje određenih uvjeta, mogu postati obveza ili imovina (dana kreditna pisma, hipoteke i slično) i</w:t>
      </w:r>
    </w:p>
    <w:p w14:paraId="6B9A3130" w14:textId="77777777" w:rsidR="00CF3957" w:rsidRDefault="00CF3957" w:rsidP="00CF3957">
      <w:pPr>
        <w:pStyle w:val="Odlomakpopisa"/>
        <w:numPr>
          <w:ilvl w:val="0"/>
          <w:numId w:val="34"/>
        </w:numPr>
        <w:jc w:val="both"/>
      </w:pPr>
      <w:r>
        <w:t>Popis sudskih sporova u tijeku.</w:t>
      </w:r>
    </w:p>
    <w:p w14:paraId="155DF19B" w14:textId="77777777" w:rsidR="00CF3957" w:rsidRPr="00C2390B" w:rsidRDefault="00CF3957" w:rsidP="00CF3957">
      <w:pPr>
        <w:jc w:val="both"/>
        <w:rPr>
          <w:szCs w:val="20"/>
        </w:rPr>
      </w:pPr>
    </w:p>
    <w:p w14:paraId="500A81D4" w14:textId="7622D05C" w:rsidR="00CF3957" w:rsidRDefault="00CF3957" w:rsidP="00CF3957">
      <w:pPr>
        <w:jc w:val="both"/>
        <w:rPr>
          <w:szCs w:val="20"/>
        </w:rPr>
      </w:pPr>
      <w:r w:rsidRPr="00C2390B">
        <w:rPr>
          <w:szCs w:val="20"/>
        </w:rPr>
        <w:t>Popisi iz točke 1. i 2. daju se u privitku.</w:t>
      </w:r>
    </w:p>
    <w:p w14:paraId="30A05D12" w14:textId="37614B58" w:rsidR="00CF3957" w:rsidRDefault="00CF3957" w:rsidP="00CF3957">
      <w:pPr>
        <w:jc w:val="both"/>
        <w:rPr>
          <w:szCs w:val="20"/>
        </w:rPr>
      </w:pPr>
    </w:p>
    <w:p w14:paraId="7C6FE212" w14:textId="30C25265" w:rsidR="00CF3957" w:rsidRDefault="00CF3957" w:rsidP="00CF3957">
      <w:pPr>
        <w:jc w:val="both"/>
        <w:rPr>
          <w:szCs w:val="20"/>
        </w:rPr>
      </w:pPr>
      <w:r w:rsidRPr="003B30B6">
        <w:br w:type="page"/>
      </w:r>
    </w:p>
    <w:p w14:paraId="65F42B52" w14:textId="77777777" w:rsidR="00CF3957" w:rsidRPr="00B852EF" w:rsidRDefault="00CF3957" w:rsidP="00CF3957">
      <w:pPr>
        <w:pStyle w:val="Naslov1"/>
      </w:pPr>
      <w:r w:rsidRPr="00B852EF">
        <w:lastRenderedPageBreak/>
        <w:t>BILJEŠKE UZ IZVJEŠTAJ O PROMJENAMA U VRIJEDNOSTI I OBUJMU IMOVINE I OBVEZA</w:t>
      </w:r>
    </w:p>
    <w:p w14:paraId="632EE937" w14:textId="77777777" w:rsidR="00CF3957" w:rsidRPr="00B852EF" w:rsidRDefault="00CF3957" w:rsidP="00CF3957">
      <w:pPr>
        <w:jc w:val="center"/>
        <w:rPr>
          <w:sz w:val="28"/>
          <w:szCs w:val="28"/>
        </w:rPr>
      </w:pPr>
    </w:p>
    <w:p w14:paraId="19B5C98F" w14:textId="77777777" w:rsidR="00CF3957" w:rsidRPr="00B852EF" w:rsidRDefault="00CF3957" w:rsidP="00CF3957">
      <w:pPr>
        <w:jc w:val="center"/>
        <w:rPr>
          <w:sz w:val="28"/>
          <w:szCs w:val="28"/>
        </w:rPr>
      </w:pPr>
      <w:r w:rsidRPr="00B852EF">
        <w:rPr>
          <w:sz w:val="28"/>
          <w:szCs w:val="28"/>
        </w:rPr>
        <w:t>Bilješka 1.</w:t>
      </w:r>
    </w:p>
    <w:p w14:paraId="6E023FF9" w14:textId="77777777" w:rsidR="00CF3957" w:rsidRPr="00B852EF" w:rsidRDefault="00CF3957" w:rsidP="00CF3957">
      <w:pPr>
        <w:jc w:val="both"/>
      </w:pPr>
    </w:p>
    <w:p w14:paraId="675D292B" w14:textId="77777777" w:rsidR="00CF3957" w:rsidRDefault="00CF3957" w:rsidP="00CF3957">
      <w:pPr>
        <w:jc w:val="both"/>
      </w:pPr>
      <w:r w:rsidRPr="00B852EF">
        <w:t xml:space="preserve">U Obrascu P-VRIO evidentirane su sljedeće promjene: </w:t>
      </w:r>
    </w:p>
    <w:p w14:paraId="7C013E3E" w14:textId="77777777" w:rsidR="00CF3957" w:rsidRDefault="00CF3957" w:rsidP="00CF3957">
      <w:pPr>
        <w:jc w:val="both"/>
      </w:pPr>
    </w:p>
    <w:p w14:paraId="4C30D38E" w14:textId="5D97807D" w:rsidR="00CF3957" w:rsidRDefault="00CF3957" w:rsidP="00CF3957">
      <w:pPr>
        <w:jc w:val="both"/>
      </w:pPr>
      <w:r>
        <w:t>Šifra P008</w:t>
      </w:r>
      <w:r w:rsidRPr="0049472F">
        <w:t xml:space="preserve"> Promjene u vrijednosti (revalorizacija) financijske imovine</w:t>
      </w:r>
    </w:p>
    <w:tbl>
      <w:tblPr>
        <w:tblW w:w="8982" w:type="dxa"/>
        <w:tblLook w:val="04A0" w:firstRow="1" w:lastRow="0" w:firstColumn="1" w:lastColumn="0" w:noHBand="0" w:noVBand="1"/>
      </w:tblPr>
      <w:tblGrid>
        <w:gridCol w:w="4610"/>
        <w:gridCol w:w="1648"/>
        <w:gridCol w:w="1463"/>
        <w:gridCol w:w="1261"/>
      </w:tblGrid>
      <w:tr w:rsidR="00CF3957" w:rsidRPr="000F5777" w14:paraId="090E60C1" w14:textId="77777777" w:rsidTr="001E71E3">
        <w:trPr>
          <w:trHeight w:val="636"/>
        </w:trPr>
        <w:tc>
          <w:tcPr>
            <w:tcW w:w="46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30C2F5" w14:textId="77777777" w:rsidR="00CF3957" w:rsidRPr="000F5777" w:rsidRDefault="00CF3957" w:rsidP="001E71E3">
            <w:pPr>
              <w:jc w:val="center"/>
              <w:rPr>
                <w:b/>
                <w:bCs/>
                <w:sz w:val="20"/>
                <w:szCs w:val="20"/>
              </w:rPr>
            </w:pPr>
            <w:r w:rsidRPr="000F5777">
              <w:rPr>
                <w:b/>
                <w:bCs/>
                <w:sz w:val="20"/>
                <w:szCs w:val="20"/>
              </w:rPr>
              <w:t>Opis knjiženja</w:t>
            </w:r>
          </w:p>
        </w:tc>
        <w:tc>
          <w:tcPr>
            <w:tcW w:w="1648" w:type="dxa"/>
            <w:tcBorders>
              <w:top w:val="single" w:sz="8" w:space="0" w:color="auto"/>
              <w:left w:val="nil"/>
              <w:bottom w:val="single" w:sz="4" w:space="0" w:color="auto"/>
              <w:right w:val="single" w:sz="4" w:space="0" w:color="auto"/>
            </w:tcBorders>
            <w:shd w:val="clear" w:color="auto" w:fill="auto"/>
            <w:noWrap/>
            <w:vAlign w:val="center"/>
            <w:hideMark/>
          </w:tcPr>
          <w:p w14:paraId="51B3F8B6" w14:textId="77777777" w:rsidR="00CF3957" w:rsidRPr="000F5777" w:rsidRDefault="00CF3957" w:rsidP="001E71E3">
            <w:pPr>
              <w:jc w:val="center"/>
              <w:rPr>
                <w:b/>
                <w:bCs/>
                <w:sz w:val="20"/>
                <w:szCs w:val="20"/>
              </w:rPr>
            </w:pPr>
            <w:r w:rsidRPr="000F5777">
              <w:rPr>
                <w:b/>
                <w:bCs/>
                <w:sz w:val="20"/>
                <w:szCs w:val="20"/>
              </w:rPr>
              <w:t>Iznos</w:t>
            </w:r>
          </w:p>
        </w:tc>
        <w:tc>
          <w:tcPr>
            <w:tcW w:w="1463" w:type="dxa"/>
            <w:tcBorders>
              <w:top w:val="single" w:sz="8" w:space="0" w:color="auto"/>
              <w:left w:val="nil"/>
              <w:bottom w:val="single" w:sz="4" w:space="0" w:color="auto"/>
              <w:right w:val="single" w:sz="4" w:space="0" w:color="auto"/>
            </w:tcBorders>
            <w:shd w:val="clear" w:color="auto" w:fill="auto"/>
            <w:vAlign w:val="center"/>
            <w:hideMark/>
          </w:tcPr>
          <w:p w14:paraId="00593171" w14:textId="77777777" w:rsidR="00CF3957" w:rsidRPr="000F5777" w:rsidRDefault="00CF3957" w:rsidP="001E71E3">
            <w:pPr>
              <w:jc w:val="center"/>
              <w:rPr>
                <w:b/>
                <w:bCs/>
                <w:sz w:val="20"/>
                <w:szCs w:val="20"/>
              </w:rPr>
            </w:pPr>
            <w:r w:rsidRPr="000F5777">
              <w:rPr>
                <w:b/>
                <w:bCs/>
                <w:sz w:val="20"/>
                <w:szCs w:val="20"/>
              </w:rPr>
              <w:t>smanj</w:t>
            </w:r>
            <w:r>
              <w:rPr>
                <w:b/>
                <w:bCs/>
                <w:sz w:val="20"/>
                <w:szCs w:val="20"/>
              </w:rPr>
              <w:t>e</w:t>
            </w:r>
            <w:r w:rsidRPr="000F5777">
              <w:rPr>
                <w:b/>
                <w:bCs/>
                <w:sz w:val="20"/>
                <w:szCs w:val="20"/>
              </w:rPr>
              <w:t>nje/ povećanje</w:t>
            </w:r>
          </w:p>
        </w:tc>
        <w:tc>
          <w:tcPr>
            <w:tcW w:w="1261" w:type="dxa"/>
            <w:tcBorders>
              <w:top w:val="single" w:sz="8" w:space="0" w:color="auto"/>
              <w:left w:val="nil"/>
              <w:bottom w:val="single" w:sz="4" w:space="0" w:color="auto"/>
              <w:right w:val="single" w:sz="8" w:space="0" w:color="auto"/>
            </w:tcBorders>
            <w:shd w:val="clear" w:color="auto" w:fill="auto"/>
            <w:vAlign w:val="center"/>
            <w:hideMark/>
          </w:tcPr>
          <w:p w14:paraId="78CA6EED" w14:textId="77777777" w:rsidR="00CF3957" w:rsidRPr="000F5777" w:rsidRDefault="00CF3957" w:rsidP="001E71E3">
            <w:pPr>
              <w:jc w:val="center"/>
              <w:rPr>
                <w:b/>
                <w:bCs/>
                <w:sz w:val="20"/>
                <w:szCs w:val="20"/>
              </w:rPr>
            </w:pPr>
            <w:r>
              <w:rPr>
                <w:b/>
                <w:bCs/>
                <w:sz w:val="20"/>
                <w:szCs w:val="20"/>
              </w:rPr>
              <w:t>Šifra</w:t>
            </w:r>
          </w:p>
        </w:tc>
      </w:tr>
      <w:tr w:rsidR="00CF3957" w:rsidRPr="000F5777" w14:paraId="17542D8C"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07A28822" w14:textId="77777777" w:rsidR="00CF3957" w:rsidRPr="000F5777" w:rsidRDefault="00CF3957" w:rsidP="001E71E3">
            <w:pPr>
              <w:rPr>
                <w:sz w:val="20"/>
                <w:szCs w:val="20"/>
              </w:rPr>
            </w:pPr>
            <w:r w:rsidRPr="000F5777">
              <w:rPr>
                <w:sz w:val="20"/>
                <w:szCs w:val="20"/>
              </w:rPr>
              <w:t>Vrijednosno usklađenje imovine - Depoziti u tuzemnim bankama i ostalim financijskim</w:t>
            </w:r>
          </w:p>
        </w:tc>
        <w:tc>
          <w:tcPr>
            <w:tcW w:w="1648" w:type="dxa"/>
            <w:tcBorders>
              <w:top w:val="nil"/>
              <w:left w:val="nil"/>
              <w:bottom w:val="single" w:sz="4" w:space="0" w:color="auto"/>
              <w:right w:val="single" w:sz="4" w:space="0" w:color="auto"/>
            </w:tcBorders>
            <w:shd w:val="clear" w:color="auto" w:fill="auto"/>
            <w:noWrap/>
            <w:vAlign w:val="center"/>
            <w:hideMark/>
          </w:tcPr>
          <w:p w14:paraId="014D46CA" w14:textId="77777777" w:rsidR="00CF3957" w:rsidRPr="000F5777" w:rsidRDefault="00CF3957" w:rsidP="001E71E3">
            <w:pPr>
              <w:jc w:val="right"/>
              <w:rPr>
                <w:sz w:val="20"/>
                <w:szCs w:val="20"/>
              </w:rPr>
            </w:pPr>
            <w:r w:rsidRPr="000F5777">
              <w:rPr>
                <w:sz w:val="20"/>
                <w:szCs w:val="20"/>
              </w:rPr>
              <w:t>12.134.320,00</w:t>
            </w:r>
          </w:p>
        </w:tc>
        <w:tc>
          <w:tcPr>
            <w:tcW w:w="1463" w:type="dxa"/>
            <w:tcBorders>
              <w:top w:val="nil"/>
              <w:left w:val="nil"/>
              <w:bottom w:val="single" w:sz="4" w:space="0" w:color="auto"/>
              <w:right w:val="single" w:sz="4" w:space="0" w:color="auto"/>
            </w:tcBorders>
            <w:shd w:val="clear" w:color="auto" w:fill="auto"/>
            <w:vAlign w:val="center"/>
            <w:hideMark/>
          </w:tcPr>
          <w:p w14:paraId="0CA15CF9" w14:textId="77777777" w:rsidR="00CF3957" w:rsidRPr="000F5777" w:rsidRDefault="00CF3957" w:rsidP="001E71E3">
            <w:pPr>
              <w:jc w:val="center"/>
              <w:rPr>
                <w:sz w:val="20"/>
                <w:szCs w:val="20"/>
              </w:rPr>
            </w:pPr>
            <w:r w:rsidRPr="000F5777">
              <w:rPr>
                <w:b/>
                <w:bCs/>
                <w:sz w:val="20"/>
                <w:szCs w:val="20"/>
              </w:rPr>
              <w:t xml:space="preserve"> 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257868AB" w14:textId="77777777" w:rsidR="00CF3957" w:rsidRPr="000F5777" w:rsidRDefault="00CF3957" w:rsidP="001E71E3">
            <w:pPr>
              <w:jc w:val="center"/>
              <w:rPr>
                <w:sz w:val="20"/>
                <w:szCs w:val="20"/>
              </w:rPr>
            </w:pPr>
            <w:r w:rsidRPr="000F5777">
              <w:rPr>
                <w:sz w:val="20"/>
                <w:szCs w:val="20"/>
              </w:rPr>
              <w:t>P010</w:t>
            </w:r>
          </w:p>
        </w:tc>
      </w:tr>
      <w:tr w:rsidR="00CF3957" w:rsidRPr="000F5777" w14:paraId="1128E5AE"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1363FF49" w14:textId="77777777" w:rsidR="00CF3957" w:rsidRPr="000F5777" w:rsidRDefault="00CF3957" w:rsidP="001E71E3">
            <w:pPr>
              <w:rPr>
                <w:sz w:val="20"/>
                <w:szCs w:val="20"/>
              </w:rPr>
            </w:pPr>
            <w:r w:rsidRPr="000F5777">
              <w:rPr>
                <w:sz w:val="20"/>
                <w:szCs w:val="20"/>
              </w:rPr>
              <w:t>Vrijednosno usklađenje imovine - Depoziti u Hrvatskoj narodnoj banci</w:t>
            </w:r>
          </w:p>
        </w:tc>
        <w:tc>
          <w:tcPr>
            <w:tcW w:w="1648" w:type="dxa"/>
            <w:tcBorders>
              <w:top w:val="nil"/>
              <w:left w:val="nil"/>
              <w:bottom w:val="single" w:sz="4" w:space="0" w:color="auto"/>
              <w:right w:val="single" w:sz="4" w:space="0" w:color="auto"/>
            </w:tcBorders>
            <w:shd w:val="clear" w:color="auto" w:fill="auto"/>
            <w:noWrap/>
            <w:vAlign w:val="center"/>
            <w:hideMark/>
          </w:tcPr>
          <w:p w14:paraId="7E453DD0" w14:textId="77777777" w:rsidR="00CF3957" w:rsidRPr="000F5777" w:rsidRDefault="00CF3957" w:rsidP="001E71E3">
            <w:pPr>
              <w:jc w:val="right"/>
              <w:rPr>
                <w:sz w:val="20"/>
                <w:szCs w:val="20"/>
              </w:rPr>
            </w:pPr>
            <w:r w:rsidRPr="000F5777">
              <w:rPr>
                <w:sz w:val="20"/>
                <w:szCs w:val="20"/>
              </w:rPr>
              <w:t>-5.168.000,00</w:t>
            </w:r>
          </w:p>
        </w:tc>
        <w:tc>
          <w:tcPr>
            <w:tcW w:w="1463" w:type="dxa"/>
            <w:tcBorders>
              <w:top w:val="nil"/>
              <w:left w:val="nil"/>
              <w:bottom w:val="single" w:sz="4" w:space="0" w:color="auto"/>
              <w:right w:val="single" w:sz="4" w:space="0" w:color="auto"/>
            </w:tcBorders>
            <w:shd w:val="clear" w:color="auto" w:fill="auto"/>
            <w:vAlign w:val="center"/>
            <w:hideMark/>
          </w:tcPr>
          <w:p w14:paraId="41615627" w14:textId="77777777" w:rsidR="00CF3957" w:rsidRPr="000F5777" w:rsidRDefault="00CF3957" w:rsidP="001E71E3">
            <w:pPr>
              <w:jc w:val="center"/>
              <w:rPr>
                <w:sz w:val="20"/>
                <w:szCs w:val="20"/>
              </w:rPr>
            </w:pPr>
            <w:r w:rsidRPr="000F5777">
              <w:rPr>
                <w:b/>
                <w:bCs/>
                <w:sz w:val="20"/>
                <w:szCs w:val="20"/>
              </w:rPr>
              <w:t>smanjenje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4E32E285" w14:textId="77777777" w:rsidR="00CF3957" w:rsidRPr="000F5777" w:rsidRDefault="00CF3957" w:rsidP="001E71E3">
            <w:pPr>
              <w:jc w:val="center"/>
              <w:rPr>
                <w:sz w:val="20"/>
                <w:szCs w:val="20"/>
              </w:rPr>
            </w:pPr>
            <w:r w:rsidRPr="000F5777">
              <w:rPr>
                <w:sz w:val="20"/>
                <w:szCs w:val="20"/>
              </w:rPr>
              <w:t>P010</w:t>
            </w:r>
          </w:p>
        </w:tc>
      </w:tr>
      <w:tr w:rsidR="00CF3957" w:rsidRPr="000F5777" w14:paraId="7040FCC9"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6900041F" w14:textId="77777777" w:rsidR="00CF3957" w:rsidRPr="000F5777" w:rsidRDefault="00CF3957" w:rsidP="001E71E3">
            <w:pPr>
              <w:rPr>
                <w:sz w:val="20"/>
                <w:szCs w:val="20"/>
              </w:rPr>
            </w:pPr>
            <w:r w:rsidRPr="000F5777">
              <w:rPr>
                <w:sz w:val="20"/>
                <w:szCs w:val="20"/>
              </w:rPr>
              <w:t>Vrijednosno usklađenje imovine - Ostala nespomenuta potraživanja</w:t>
            </w:r>
          </w:p>
        </w:tc>
        <w:tc>
          <w:tcPr>
            <w:tcW w:w="1648" w:type="dxa"/>
            <w:tcBorders>
              <w:top w:val="nil"/>
              <w:left w:val="nil"/>
              <w:bottom w:val="single" w:sz="4" w:space="0" w:color="auto"/>
              <w:right w:val="single" w:sz="4" w:space="0" w:color="auto"/>
            </w:tcBorders>
            <w:shd w:val="clear" w:color="auto" w:fill="auto"/>
            <w:noWrap/>
            <w:vAlign w:val="center"/>
            <w:hideMark/>
          </w:tcPr>
          <w:p w14:paraId="40AB1724" w14:textId="77777777" w:rsidR="00CF3957" w:rsidRPr="000F5777" w:rsidRDefault="00CF3957" w:rsidP="001E71E3">
            <w:pPr>
              <w:jc w:val="right"/>
              <w:rPr>
                <w:sz w:val="20"/>
                <w:szCs w:val="20"/>
              </w:rPr>
            </w:pPr>
            <w:r w:rsidRPr="000F5777">
              <w:rPr>
                <w:sz w:val="20"/>
                <w:szCs w:val="20"/>
              </w:rPr>
              <w:t>3.809,01</w:t>
            </w:r>
          </w:p>
        </w:tc>
        <w:tc>
          <w:tcPr>
            <w:tcW w:w="1463" w:type="dxa"/>
            <w:tcBorders>
              <w:top w:val="nil"/>
              <w:left w:val="nil"/>
              <w:bottom w:val="single" w:sz="4" w:space="0" w:color="auto"/>
              <w:right w:val="single" w:sz="4" w:space="0" w:color="auto"/>
            </w:tcBorders>
            <w:shd w:val="clear" w:color="auto" w:fill="auto"/>
            <w:vAlign w:val="center"/>
            <w:hideMark/>
          </w:tcPr>
          <w:p w14:paraId="7EA39FE8" w14:textId="77777777" w:rsidR="00CF3957" w:rsidRPr="000F5777" w:rsidRDefault="00CF3957" w:rsidP="001E71E3">
            <w:pPr>
              <w:jc w:val="center"/>
              <w:rPr>
                <w:sz w:val="20"/>
                <w:szCs w:val="20"/>
              </w:rPr>
            </w:pPr>
            <w:r w:rsidRPr="000F5777">
              <w:rPr>
                <w:b/>
                <w:bCs/>
                <w:sz w:val="20"/>
                <w:szCs w:val="20"/>
              </w:rPr>
              <w:t xml:space="preserve"> 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663A93B2" w14:textId="77777777" w:rsidR="00CF3957" w:rsidRPr="000F5777" w:rsidRDefault="00CF3957" w:rsidP="001E71E3">
            <w:pPr>
              <w:jc w:val="center"/>
              <w:rPr>
                <w:sz w:val="20"/>
                <w:szCs w:val="20"/>
              </w:rPr>
            </w:pPr>
            <w:r w:rsidRPr="000F5777">
              <w:rPr>
                <w:sz w:val="20"/>
                <w:szCs w:val="20"/>
              </w:rPr>
              <w:t>P010</w:t>
            </w:r>
          </w:p>
        </w:tc>
      </w:tr>
      <w:tr w:rsidR="00CF3957" w:rsidRPr="000F5777" w14:paraId="5EA68E40"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082EA528" w14:textId="77777777" w:rsidR="00CF3957" w:rsidRPr="000F5777" w:rsidRDefault="00CF3957" w:rsidP="001E71E3">
            <w:pPr>
              <w:rPr>
                <w:sz w:val="20"/>
                <w:szCs w:val="20"/>
              </w:rPr>
            </w:pPr>
            <w:r w:rsidRPr="000F5777">
              <w:rPr>
                <w:sz w:val="20"/>
                <w:szCs w:val="20"/>
              </w:rPr>
              <w:t>Vrijednosno usklađ</w:t>
            </w:r>
            <w:r>
              <w:rPr>
                <w:sz w:val="20"/>
                <w:szCs w:val="20"/>
              </w:rPr>
              <w:t xml:space="preserve">enje imovine - Ostala nespomenuta </w:t>
            </w:r>
            <w:r w:rsidRPr="000F5777">
              <w:rPr>
                <w:sz w:val="20"/>
                <w:szCs w:val="20"/>
              </w:rPr>
              <w:t>potraživanja članski kapital IBRD</w:t>
            </w:r>
          </w:p>
        </w:tc>
        <w:tc>
          <w:tcPr>
            <w:tcW w:w="1648" w:type="dxa"/>
            <w:tcBorders>
              <w:top w:val="nil"/>
              <w:left w:val="nil"/>
              <w:bottom w:val="single" w:sz="4" w:space="0" w:color="auto"/>
              <w:right w:val="single" w:sz="4" w:space="0" w:color="auto"/>
            </w:tcBorders>
            <w:shd w:val="clear" w:color="auto" w:fill="auto"/>
            <w:noWrap/>
            <w:vAlign w:val="center"/>
            <w:hideMark/>
          </w:tcPr>
          <w:p w14:paraId="0082A602" w14:textId="77777777" w:rsidR="00CF3957" w:rsidRPr="000F5777" w:rsidRDefault="00CF3957" w:rsidP="001E71E3">
            <w:pPr>
              <w:jc w:val="right"/>
              <w:rPr>
                <w:sz w:val="20"/>
                <w:szCs w:val="20"/>
              </w:rPr>
            </w:pPr>
            <w:r w:rsidRPr="000F5777">
              <w:rPr>
                <w:sz w:val="20"/>
                <w:szCs w:val="20"/>
              </w:rPr>
              <w:t>5.608,91</w:t>
            </w:r>
          </w:p>
        </w:tc>
        <w:tc>
          <w:tcPr>
            <w:tcW w:w="1463" w:type="dxa"/>
            <w:tcBorders>
              <w:top w:val="nil"/>
              <w:left w:val="nil"/>
              <w:bottom w:val="single" w:sz="4" w:space="0" w:color="auto"/>
              <w:right w:val="single" w:sz="4" w:space="0" w:color="auto"/>
            </w:tcBorders>
            <w:shd w:val="clear" w:color="auto" w:fill="auto"/>
            <w:vAlign w:val="center"/>
            <w:hideMark/>
          </w:tcPr>
          <w:p w14:paraId="2F27503A" w14:textId="77777777" w:rsidR="00CF3957" w:rsidRPr="000F5777" w:rsidRDefault="00CF3957" w:rsidP="001E71E3">
            <w:pPr>
              <w:jc w:val="center"/>
              <w:rPr>
                <w:sz w:val="20"/>
                <w:szCs w:val="20"/>
              </w:rPr>
            </w:pPr>
            <w:r w:rsidRPr="000F5777">
              <w:rPr>
                <w:b/>
                <w:bCs/>
                <w:sz w:val="20"/>
                <w:szCs w:val="20"/>
              </w:rPr>
              <w:t xml:space="preserve"> 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123D8F13" w14:textId="77777777" w:rsidR="00CF3957" w:rsidRPr="000F5777" w:rsidRDefault="00CF3957" w:rsidP="001E71E3">
            <w:pPr>
              <w:jc w:val="center"/>
              <w:rPr>
                <w:sz w:val="20"/>
                <w:szCs w:val="20"/>
              </w:rPr>
            </w:pPr>
            <w:r w:rsidRPr="000F5777">
              <w:rPr>
                <w:sz w:val="20"/>
                <w:szCs w:val="20"/>
              </w:rPr>
              <w:t>P010</w:t>
            </w:r>
          </w:p>
        </w:tc>
      </w:tr>
      <w:tr w:rsidR="00CF3957" w:rsidRPr="000F5777" w14:paraId="5CEA3DD6"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36AC143D" w14:textId="77777777" w:rsidR="00CF3957" w:rsidRPr="000F5777" w:rsidRDefault="00CF3957" w:rsidP="001E71E3">
            <w:pPr>
              <w:rPr>
                <w:sz w:val="20"/>
                <w:szCs w:val="20"/>
              </w:rPr>
            </w:pPr>
            <w:r w:rsidRPr="000F5777">
              <w:rPr>
                <w:sz w:val="20"/>
                <w:szCs w:val="20"/>
              </w:rPr>
              <w:t>Vrijednosno usklađenje imovine - Zajmovi trgovačkim društvima u JS za međunarodne zajmove - dug</w:t>
            </w:r>
          </w:p>
        </w:tc>
        <w:tc>
          <w:tcPr>
            <w:tcW w:w="1648" w:type="dxa"/>
            <w:tcBorders>
              <w:top w:val="nil"/>
              <w:left w:val="nil"/>
              <w:bottom w:val="single" w:sz="4" w:space="0" w:color="auto"/>
              <w:right w:val="single" w:sz="4" w:space="0" w:color="auto"/>
            </w:tcBorders>
            <w:shd w:val="clear" w:color="auto" w:fill="auto"/>
            <w:noWrap/>
            <w:vAlign w:val="center"/>
            <w:hideMark/>
          </w:tcPr>
          <w:p w14:paraId="0291485F" w14:textId="77777777" w:rsidR="00CF3957" w:rsidRPr="000F5777" w:rsidRDefault="00CF3957" w:rsidP="001E71E3">
            <w:pPr>
              <w:jc w:val="right"/>
              <w:rPr>
                <w:sz w:val="20"/>
                <w:szCs w:val="20"/>
              </w:rPr>
            </w:pPr>
            <w:r w:rsidRPr="000F5777">
              <w:rPr>
                <w:sz w:val="20"/>
                <w:szCs w:val="20"/>
              </w:rPr>
              <w:t>17.881,79</w:t>
            </w:r>
          </w:p>
        </w:tc>
        <w:tc>
          <w:tcPr>
            <w:tcW w:w="1463" w:type="dxa"/>
            <w:tcBorders>
              <w:top w:val="nil"/>
              <w:left w:val="nil"/>
              <w:bottom w:val="single" w:sz="4" w:space="0" w:color="auto"/>
              <w:right w:val="single" w:sz="4" w:space="0" w:color="auto"/>
            </w:tcBorders>
            <w:shd w:val="clear" w:color="auto" w:fill="auto"/>
            <w:vAlign w:val="center"/>
            <w:hideMark/>
          </w:tcPr>
          <w:p w14:paraId="1A9220AF" w14:textId="77777777" w:rsidR="00CF3957" w:rsidRPr="000F5777" w:rsidRDefault="00CF3957" w:rsidP="001E71E3">
            <w:pPr>
              <w:jc w:val="center"/>
              <w:rPr>
                <w:sz w:val="20"/>
                <w:szCs w:val="20"/>
              </w:rPr>
            </w:pPr>
            <w:r w:rsidRPr="000F5777">
              <w:rPr>
                <w:b/>
                <w:bCs/>
                <w:sz w:val="20"/>
                <w:szCs w:val="20"/>
              </w:rPr>
              <w:t xml:space="preserve"> 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72FC8794" w14:textId="77777777" w:rsidR="00CF3957" w:rsidRPr="000F5777" w:rsidRDefault="00CF3957" w:rsidP="001E71E3">
            <w:pPr>
              <w:jc w:val="center"/>
              <w:rPr>
                <w:sz w:val="20"/>
                <w:szCs w:val="20"/>
              </w:rPr>
            </w:pPr>
            <w:r w:rsidRPr="000F5777">
              <w:rPr>
                <w:sz w:val="20"/>
                <w:szCs w:val="20"/>
              </w:rPr>
              <w:t>P011</w:t>
            </w:r>
          </w:p>
        </w:tc>
      </w:tr>
      <w:tr w:rsidR="00CF3957" w:rsidRPr="000F5777" w14:paraId="768FCF84"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21532B5D" w14:textId="77777777" w:rsidR="00CF3957" w:rsidRPr="000F5777" w:rsidRDefault="00CF3957" w:rsidP="001E71E3">
            <w:pPr>
              <w:rPr>
                <w:sz w:val="20"/>
                <w:szCs w:val="20"/>
              </w:rPr>
            </w:pPr>
            <w:r w:rsidRPr="000F5777">
              <w:rPr>
                <w:sz w:val="20"/>
                <w:szCs w:val="20"/>
              </w:rPr>
              <w:t xml:space="preserve">Vrijednosno usklađenje imovine - Zajmovi trgovačkim društvima u JS za međunarodne zajmove - dug </w:t>
            </w:r>
            <w:proofErr w:type="spellStart"/>
            <w:r w:rsidRPr="000F5777">
              <w:rPr>
                <w:sz w:val="20"/>
                <w:szCs w:val="20"/>
              </w:rPr>
              <w:t>Ekoplus</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0EB3427D" w14:textId="77777777" w:rsidR="00CF3957" w:rsidRPr="000F5777" w:rsidRDefault="00CF3957" w:rsidP="001E71E3">
            <w:pPr>
              <w:jc w:val="right"/>
              <w:rPr>
                <w:sz w:val="20"/>
                <w:szCs w:val="20"/>
              </w:rPr>
            </w:pPr>
            <w:r w:rsidRPr="000F5777">
              <w:rPr>
                <w:sz w:val="20"/>
                <w:szCs w:val="20"/>
              </w:rPr>
              <w:t>55.277,56</w:t>
            </w:r>
          </w:p>
        </w:tc>
        <w:tc>
          <w:tcPr>
            <w:tcW w:w="1463" w:type="dxa"/>
            <w:tcBorders>
              <w:top w:val="nil"/>
              <w:left w:val="nil"/>
              <w:bottom w:val="single" w:sz="4" w:space="0" w:color="auto"/>
              <w:right w:val="single" w:sz="4" w:space="0" w:color="auto"/>
            </w:tcBorders>
            <w:shd w:val="clear" w:color="auto" w:fill="auto"/>
            <w:vAlign w:val="center"/>
            <w:hideMark/>
          </w:tcPr>
          <w:p w14:paraId="0E0A75A1" w14:textId="77777777" w:rsidR="00CF3957" w:rsidRPr="000F5777" w:rsidRDefault="00CF3957" w:rsidP="001E71E3">
            <w:pPr>
              <w:jc w:val="center"/>
              <w:rPr>
                <w:sz w:val="20"/>
                <w:szCs w:val="20"/>
              </w:rPr>
            </w:pPr>
            <w:r w:rsidRPr="000F5777">
              <w:rPr>
                <w:b/>
                <w:bCs/>
                <w:sz w:val="20"/>
                <w:szCs w:val="20"/>
              </w:rPr>
              <w:t xml:space="preserve"> povećanje </w:t>
            </w:r>
            <w:r w:rsidRPr="000F5777">
              <w:rPr>
                <w:sz w:val="20"/>
                <w:szCs w:val="20"/>
              </w:rPr>
              <w:t>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424F4827" w14:textId="77777777" w:rsidR="00CF3957" w:rsidRPr="000F5777" w:rsidRDefault="00CF3957" w:rsidP="001E71E3">
            <w:pPr>
              <w:jc w:val="center"/>
              <w:rPr>
                <w:sz w:val="20"/>
                <w:szCs w:val="20"/>
              </w:rPr>
            </w:pPr>
            <w:r w:rsidRPr="000F5777">
              <w:rPr>
                <w:sz w:val="20"/>
                <w:szCs w:val="20"/>
              </w:rPr>
              <w:t>P011</w:t>
            </w:r>
          </w:p>
        </w:tc>
      </w:tr>
      <w:tr w:rsidR="00CF3957" w:rsidRPr="000F5777" w14:paraId="62AA4A5C"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0618E282" w14:textId="77777777" w:rsidR="00CF3957" w:rsidRPr="000F5777" w:rsidRDefault="00CF3957" w:rsidP="001E71E3">
            <w:pPr>
              <w:rPr>
                <w:sz w:val="20"/>
                <w:szCs w:val="20"/>
              </w:rPr>
            </w:pPr>
            <w:r w:rsidRPr="000F5777">
              <w:rPr>
                <w:sz w:val="20"/>
                <w:szCs w:val="20"/>
              </w:rPr>
              <w:t xml:space="preserve">Vrijednosno usklađenje imovine - Zajam Nacionalne Veletržnice </w:t>
            </w:r>
          </w:p>
        </w:tc>
        <w:tc>
          <w:tcPr>
            <w:tcW w:w="1648" w:type="dxa"/>
            <w:tcBorders>
              <w:top w:val="nil"/>
              <w:left w:val="nil"/>
              <w:bottom w:val="single" w:sz="4" w:space="0" w:color="auto"/>
              <w:right w:val="single" w:sz="4" w:space="0" w:color="auto"/>
            </w:tcBorders>
            <w:shd w:val="clear" w:color="auto" w:fill="auto"/>
            <w:noWrap/>
            <w:vAlign w:val="center"/>
            <w:hideMark/>
          </w:tcPr>
          <w:p w14:paraId="03B649E8" w14:textId="77777777" w:rsidR="00CF3957" w:rsidRPr="000F5777" w:rsidRDefault="00CF3957" w:rsidP="001E71E3">
            <w:pPr>
              <w:jc w:val="right"/>
              <w:rPr>
                <w:sz w:val="20"/>
                <w:szCs w:val="20"/>
              </w:rPr>
            </w:pPr>
            <w:r w:rsidRPr="000F5777">
              <w:rPr>
                <w:sz w:val="20"/>
                <w:szCs w:val="20"/>
              </w:rPr>
              <w:t>55.517,67</w:t>
            </w:r>
          </w:p>
        </w:tc>
        <w:tc>
          <w:tcPr>
            <w:tcW w:w="1463" w:type="dxa"/>
            <w:tcBorders>
              <w:top w:val="nil"/>
              <w:left w:val="nil"/>
              <w:bottom w:val="single" w:sz="4" w:space="0" w:color="auto"/>
              <w:right w:val="single" w:sz="4" w:space="0" w:color="auto"/>
            </w:tcBorders>
            <w:shd w:val="clear" w:color="auto" w:fill="auto"/>
            <w:vAlign w:val="center"/>
            <w:hideMark/>
          </w:tcPr>
          <w:p w14:paraId="033DF0FF" w14:textId="77777777" w:rsidR="00CF3957" w:rsidRPr="000F5777" w:rsidRDefault="00CF3957" w:rsidP="001E71E3">
            <w:pPr>
              <w:jc w:val="center"/>
              <w:rPr>
                <w:sz w:val="20"/>
                <w:szCs w:val="20"/>
              </w:rPr>
            </w:pPr>
            <w:r w:rsidRPr="000F5777">
              <w:rPr>
                <w:sz w:val="20"/>
                <w:szCs w:val="20"/>
              </w:rPr>
              <w:t xml:space="preserve"> </w:t>
            </w: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7A532473" w14:textId="77777777" w:rsidR="00CF3957" w:rsidRPr="000F5777" w:rsidRDefault="00CF3957" w:rsidP="001E71E3">
            <w:pPr>
              <w:jc w:val="center"/>
              <w:rPr>
                <w:sz w:val="20"/>
                <w:szCs w:val="20"/>
              </w:rPr>
            </w:pPr>
            <w:r w:rsidRPr="000F5777">
              <w:rPr>
                <w:sz w:val="20"/>
                <w:szCs w:val="20"/>
              </w:rPr>
              <w:t>P011</w:t>
            </w:r>
          </w:p>
        </w:tc>
      </w:tr>
      <w:tr w:rsidR="00CF3957" w:rsidRPr="000F5777" w14:paraId="22EBD80C"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39F3A2A2" w14:textId="77777777" w:rsidR="00CF3957" w:rsidRPr="000F5777" w:rsidRDefault="00CF3957" w:rsidP="001E71E3">
            <w:pPr>
              <w:rPr>
                <w:sz w:val="20"/>
                <w:szCs w:val="20"/>
              </w:rPr>
            </w:pPr>
            <w:r w:rsidRPr="000F5777">
              <w:rPr>
                <w:sz w:val="20"/>
                <w:szCs w:val="20"/>
              </w:rPr>
              <w:t xml:space="preserve">Vrijednosno usklađenje imovine - Zajam </w:t>
            </w:r>
            <w:proofErr w:type="spellStart"/>
            <w:r w:rsidRPr="000F5777">
              <w:rPr>
                <w:sz w:val="20"/>
                <w:szCs w:val="20"/>
              </w:rPr>
              <w:t>Alpha</w:t>
            </w:r>
            <w:proofErr w:type="spellEnd"/>
            <w:r w:rsidRPr="000F5777">
              <w:rPr>
                <w:sz w:val="20"/>
                <w:szCs w:val="20"/>
              </w:rPr>
              <w:t xml:space="preserve"> Adriatic </w:t>
            </w:r>
            <w:proofErr w:type="spellStart"/>
            <w:r w:rsidRPr="000F5777">
              <w:rPr>
                <w:sz w:val="20"/>
                <w:szCs w:val="20"/>
              </w:rPr>
              <w:t>predstečaj</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52B2FA51" w14:textId="77777777" w:rsidR="00CF3957" w:rsidRPr="000F5777" w:rsidRDefault="00CF3957" w:rsidP="001E71E3">
            <w:pPr>
              <w:jc w:val="right"/>
              <w:rPr>
                <w:sz w:val="20"/>
                <w:szCs w:val="20"/>
              </w:rPr>
            </w:pPr>
            <w:r w:rsidRPr="000F5777">
              <w:rPr>
                <w:sz w:val="20"/>
                <w:szCs w:val="20"/>
              </w:rPr>
              <w:t>11.671.728,66</w:t>
            </w:r>
          </w:p>
        </w:tc>
        <w:tc>
          <w:tcPr>
            <w:tcW w:w="1463" w:type="dxa"/>
            <w:tcBorders>
              <w:top w:val="nil"/>
              <w:left w:val="nil"/>
              <w:bottom w:val="single" w:sz="4" w:space="0" w:color="auto"/>
              <w:right w:val="single" w:sz="4" w:space="0" w:color="auto"/>
            </w:tcBorders>
            <w:shd w:val="clear" w:color="auto" w:fill="auto"/>
            <w:vAlign w:val="center"/>
            <w:hideMark/>
          </w:tcPr>
          <w:p w14:paraId="3739CA9F" w14:textId="77777777" w:rsidR="00CF3957" w:rsidRPr="000F5777" w:rsidRDefault="00CF3957" w:rsidP="001E71E3">
            <w:pPr>
              <w:jc w:val="center"/>
              <w:rPr>
                <w:sz w:val="20"/>
                <w:szCs w:val="20"/>
              </w:rPr>
            </w:pPr>
            <w:r w:rsidRPr="000F5777">
              <w:rPr>
                <w:sz w:val="20"/>
                <w:szCs w:val="20"/>
              </w:rPr>
              <w:t xml:space="preserve"> </w:t>
            </w:r>
            <w:r w:rsidRPr="000F5777">
              <w:rPr>
                <w:b/>
                <w:bCs/>
                <w:sz w:val="20"/>
                <w:szCs w:val="20"/>
              </w:rPr>
              <w:t xml:space="preserve">povećanje </w:t>
            </w:r>
            <w:r w:rsidRPr="000F5777">
              <w:rPr>
                <w:sz w:val="20"/>
                <w:szCs w:val="20"/>
              </w:rPr>
              <w:t>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3F1EFD65" w14:textId="77777777" w:rsidR="00CF3957" w:rsidRPr="000F5777" w:rsidRDefault="00CF3957" w:rsidP="001E71E3">
            <w:pPr>
              <w:jc w:val="center"/>
              <w:rPr>
                <w:sz w:val="20"/>
                <w:szCs w:val="20"/>
              </w:rPr>
            </w:pPr>
            <w:r w:rsidRPr="000F5777">
              <w:rPr>
                <w:sz w:val="20"/>
                <w:szCs w:val="20"/>
              </w:rPr>
              <w:t>P011</w:t>
            </w:r>
          </w:p>
        </w:tc>
      </w:tr>
      <w:tr w:rsidR="00CF3957" w:rsidRPr="000F5777" w14:paraId="10D848C1"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4CCBFB5B" w14:textId="77777777" w:rsidR="00CF3957" w:rsidRPr="000F5777" w:rsidRDefault="00CF3957" w:rsidP="001E71E3">
            <w:pPr>
              <w:rPr>
                <w:sz w:val="20"/>
                <w:szCs w:val="20"/>
              </w:rPr>
            </w:pPr>
            <w:r w:rsidRPr="000F5777">
              <w:rPr>
                <w:sz w:val="20"/>
                <w:szCs w:val="20"/>
              </w:rPr>
              <w:t xml:space="preserve">Vrijednosno usklađenje imovine - Zajam </w:t>
            </w:r>
            <w:proofErr w:type="spellStart"/>
            <w:r w:rsidRPr="000F5777">
              <w:rPr>
                <w:sz w:val="20"/>
                <w:szCs w:val="20"/>
              </w:rPr>
              <w:t>Alpha</w:t>
            </w:r>
            <w:proofErr w:type="spellEnd"/>
            <w:r w:rsidRPr="000F5777">
              <w:rPr>
                <w:sz w:val="20"/>
                <w:szCs w:val="20"/>
              </w:rPr>
              <w:t xml:space="preserve"> Adriatic provizija </w:t>
            </w:r>
            <w:proofErr w:type="spellStart"/>
            <w:r w:rsidRPr="000F5777">
              <w:rPr>
                <w:sz w:val="20"/>
                <w:szCs w:val="20"/>
              </w:rPr>
              <w:t>predstečaj</w:t>
            </w:r>
            <w:proofErr w:type="spellEnd"/>
          </w:p>
        </w:tc>
        <w:tc>
          <w:tcPr>
            <w:tcW w:w="1648" w:type="dxa"/>
            <w:tcBorders>
              <w:top w:val="nil"/>
              <w:left w:val="nil"/>
              <w:bottom w:val="single" w:sz="4" w:space="0" w:color="auto"/>
              <w:right w:val="single" w:sz="4" w:space="0" w:color="auto"/>
            </w:tcBorders>
            <w:shd w:val="clear" w:color="auto" w:fill="auto"/>
            <w:noWrap/>
            <w:vAlign w:val="center"/>
            <w:hideMark/>
          </w:tcPr>
          <w:p w14:paraId="4876B856" w14:textId="77777777" w:rsidR="00CF3957" w:rsidRPr="000F5777" w:rsidRDefault="00CF3957" w:rsidP="001E71E3">
            <w:pPr>
              <w:jc w:val="right"/>
              <w:rPr>
                <w:sz w:val="20"/>
                <w:szCs w:val="20"/>
              </w:rPr>
            </w:pPr>
            <w:r w:rsidRPr="000F5777">
              <w:rPr>
                <w:sz w:val="20"/>
                <w:szCs w:val="20"/>
              </w:rPr>
              <w:t>88.185,04</w:t>
            </w:r>
          </w:p>
        </w:tc>
        <w:tc>
          <w:tcPr>
            <w:tcW w:w="1463" w:type="dxa"/>
            <w:tcBorders>
              <w:top w:val="nil"/>
              <w:left w:val="nil"/>
              <w:bottom w:val="single" w:sz="4" w:space="0" w:color="auto"/>
              <w:right w:val="single" w:sz="4" w:space="0" w:color="auto"/>
            </w:tcBorders>
            <w:shd w:val="clear" w:color="auto" w:fill="auto"/>
            <w:vAlign w:val="center"/>
            <w:hideMark/>
          </w:tcPr>
          <w:p w14:paraId="0D8A92C3" w14:textId="77777777" w:rsidR="00CF3957" w:rsidRPr="000F5777" w:rsidRDefault="00CF3957" w:rsidP="001E71E3">
            <w:pPr>
              <w:jc w:val="center"/>
              <w:rPr>
                <w:sz w:val="20"/>
                <w:szCs w:val="20"/>
              </w:rPr>
            </w:pPr>
            <w:r w:rsidRPr="000F5777">
              <w:rPr>
                <w:b/>
                <w:bCs/>
                <w:sz w:val="20"/>
                <w:szCs w:val="20"/>
              </w:rPr>
              <w:t xml:space="preserve"> 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182CFC50" w14:textId="77777777" w:rsidR="00CF3957" w:rsidRPr="000F5777" w:rsidRDefault="00CF3957" w:rsidP="001E71E3">
            <w:pPr>
              <w:jc w:val="center"/>
              <w:rPr>
                <w:sz w:val="20"/>
                <w:szCs w:val="20"/>
              </w:rPr>
            </w:pPr>
            <w:r w:rsidRPr="000F5777">
              <w:rPr>
                <w:sz w:val="20"/>
                <w:szCs w:val="20"/>
              </w:rPr>
              <w:t>P011</w:t>
            </w:r>
          </w:p>
        </w:tc>
      </w:tr>
      <w:tr w:rsidR="00CF3957" w:rsidRPr="000F5777" w14:paraId="0AE9F284"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546BD6B9" w14:textId="77777777" w:rsidR="00CF3957" w:rsidRPr="000F5777" w:rsidRDefault="00CF3957" w:rsidP="001E71E3">
            <w:pPr>
              <w:rPr>
                <w:sz w:val="20"/>
                <w:szCs w:val="20"/>
              </w:rPr>
            </w:pPr>
            <w:r w:rsidRPr="000F5777">
              <w:rPr>
                <w:sz w:val="20"/>
                <w:szCs w:val="20"/>
              </w:rPr>
              <w:t>Vrijednosno usklađenje imovine - Zajmovi županijskim proračunima za međunarodne zajmove - dug</w:t>
            </w:r>
          </w:p>
        </w:tc>
        <w:tc>
          <w:tcPr>
            <w:tcW w:w="1648" w:type="dxa"/>
            <w:tcBorders>
              <w:top w:val="nil"/>
              <w:left w:val="nil"/>
              <w:bottom w:val="single" w:sz="4" w:space="0" w:color="auto"/>
              <w:right w:val="single" w:sz="4" w:space="0" w:color="auto"/>
            </w:tcBorders>
            <w:shd w:val="clear" w:color="auto" w:fill="auto"/>
            <w:noWrap/>
            <w:vAlign w:val="center"/>
            <w:hideMark/>
          </w:tcPr>
          <w:p w14:paraId="48196367" w14:textId="77777777" w:rsidR="00CF3957" w:rsidRPr="000F5777" w:rsidRDefault="00CF3957" w:rsidP="001E71E3">
            <w:pPr>
              <w:jc w:val="right"/>
              <w:rPr>
                <w:sz w:val="20"/>
                <w:szCs w:val="20"/>
              </w:rPr>
            </w:pPr>
            <w:r w:rsidRPr="000F5777">
              <w:rPr>
                <w:sz w:val="20"/>
                <w:szCs w:val="20"/>
              </w:rPr>
              <w:t>162.135,38</w:t>
            </w:r>
          </w:p>
        </w:tc>
        <w:tc>
          <w:tcPr>
            <w:tcW w:w="1463" w:type="dxa"/>
            <w:tcBorders>
              <w:top w:val="nil"/>
              <w:left w:val="nil"/>
              <w:bottom w:val="single" w:sz="4" w:space="0" w:color="auto"/>
              <w:right w:val="single" w:sz="4" w:space="0" w:color="auto"/>
            </w:tcBorders>
            <w:shd w:val="clear" w:color="auto" w:fill="auto"/>
            <w:vAlign w:val="center"/>
            <w:hideMark/>
          </w:tcPr>
          <w:p w14:paraId="11074B59" w14:textId="77777777" w:rsidR="00CF3957" w:rsidRPr="000F5777" w:rsidRDefault="00CF3957" w:rsidP="001E71E3">
            <w:pPr>
              <w:jc w:val="center"/>
              <w:rPr>
                <w:sz w:val="20"/>
                <w:szCs w:val="20"/>
              </w:rPr>
            </w:pPr>
            <w:r w:rsidRPr="000F5777">
              <w:rPr>
                <w:b/>
                <w:bCs/>
                <w:sz w:val="20"/>
                <w:szCs w:val="20"/>
              </w:rPr>
              <w:t xml:space="preserve"> povećanje </w:t>
            </w:r>
            <w:r w:rsidRPr="000F5777">
              <w:rPr>
                <w:sz w:val="20"/>
                <w:szCs w:val="20"/>
              </w:rPr>
              <w:t>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5FE26282" w14:textId="77777777" w:rsidR="00CF3957" w:rsidRPr="000F5777" w:rsidRDefault="00CF3957" w:rsidP="001E71E3">
            <w:pPr>
              <w:jc w:val="center"/>
              <w:rPr>
                <w:sz w:val="20"/>
                <w:szCs w:val="20"/>
              </w:rPr>
            </w:pPr>
            <w:r w:rsidRPr="000F5777">
              <w:rPr>
                <w:sz w:val="20"/>
                <w:szCs w:val="20"/>
              </w:rPr>
              <w:t>P011</w:t>
            </w:r>
          </w:p>
        </w:tc>
      </w:tr>
      <w:tr w:rsidR="00CF3957" w:rsidRPr="000F5777" w14:paraId="146CC971"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4C096AE6" w14:textId="77777777" w:rsidR="00CF3957" w:rsidRPr="000F5777" w:rsidRDefault="00CF3957" w:rsidP="001E71E3">
            <w:pPr>
              <w:rPr>
                <w:sz w:val="20"/>
                <w:szCs w:val="20"/>
              </w:rPr>
            </w:pPr>
            <w:r w:rsidRPr="000F5777">
              <w:rPr>
                <w:sz w:val="20"/>
                <w:szCs w:val="20"/>
              </w:rPr>
              <w:t>Vrijednosno usklađenje imovine - Zajmovi gradskim proračunima za međunarodne zajmove - dug</w:t>
            </w:r>
          </w:p>
        </w:tc>
        <w:tc>
          <w:tcPr>
            <w:tcW w:w="1648" w:type="dxa"/>
            <w:tcBorders>
              <w:top w:val="nil"/>
              <w:left w:val="nil"/>
              <w:bottom w:val="single" w:sz="4" w:space="0" w:color="auto"/>
              <w:right w:val="single" w:sz="4" w:space="0" w:color="auto"/>
            </w:tcBorders>
            <w:shd w:val="clear" w:color="auto" w:fill="auto"/>
            <w:noWrap/>
            <w:vAlign w:val="center"/>
            <w:hideMark/>
          </w:tcPr>
          <w:p w14:paraId="2056D532" w14:textId="77777777" w:rsidR="00CF3957" w:rsidRPr="000F5777" w:rsidRDefault="00CF3957" w:rsidP="001E71E3">
            <w:pPr>
              <w:jc w:val="right"/>
              <w:rPr>
                <w:sz w:val="20"/>
                <w:szCs w:val="20"/>
              </w:rPr>
            </w:pPr>
            <w:r w:rsidRPr="000F5777">
              <w:rPr>
                <w:sz w:val="20"/>
                <w:szCs w:val="20"/>
              </w:rPr>
              <w:t>44.458,78</w:t>
            </w:r>
          </w:p>
        </w:tc>
        <w:tc>
          <w:tcPr>
            <w:tcW w:w="1463" w:type="dxa"/>
            <w:tcBorders>
              <w:top w:val="nil"/>
              <w:left w:val="nil"/>
              <w:bottom w:val="single" w:sz="4" w:space="0" w:color="auto"/>
              <w:right w:val="single" w:sz="4" w:space="0" w:color="auto"/>
            </w:tcBorders>
            <w:shd w:val="clear" w:color="auto" w:fill="auto"/>
            <w:vAlign w:val="center"/>
            <w:hideMark/>
          </w:tcPr>
          <w:p w14:paraId="3E3D9843" w14:textId="77777777" w:rsidR="00CF3957" w:rsidRPr="000F5777" w:rsidRDefault="00CF3957" w:rsidP="001E71E3">
            <w:pPr>
              <w:jc w:val="center"/>
              <w:rPr>
                <w:sz w:val="20"/>
                <w:szCs w:val="20"/>
              </w:rPr>
            </w:pPr>
            <w:r w:rsidRPr="000F5777">
              <w:rPr>
                <w:b/>
                <w:bCs/>
                <w:sz w:val="20"/>
                <w:szCs w:val="20"/>
              </w:rPr>
              <w:t xml:space="preserve"> povećanje </w:t>
            </w:r>
            <w:r w:rsidRPr="000F5777">
              <w:rPr>
                <w:sz w:val="20"/>
                <w:szCs w:val="20"/>
              </w:rPr>
              <w:t>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5C07058D" w14:textId="77777777" w:rsidR="00CF3957" w:rsidRPr="000F5777" w:rsidRDefault="00CF3957" w:rsidP="001E71E3">
            <w:pPr>
              <w:jc w:val="center"/>
              <w:rPr>
                <w:sz w:val="20"/>
                <w:szCs w:val="20"/>
              </w:rPr>
            </w:pPr>
            <w:r w:rsidRPr="000F5777">
              <w:rPr>
                <w:sz w:val="20"/>
                <w:szCs w:val="20"/>
              </w:rPr>
              <w:t>P011</w:t>
            </w:r>
          </w:p>
        </w:tc>
      </w:tr>
      <w:tr w:rsidR="00CF3957" w:rsidRPr="000F5777" w14:paraId="08D57A18"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2C78B803" w14:textId="77777777" w:rsidR="00CF3957" w:rsidRPr="000F5777" w:rsidRDefault="00CF3957" w:rsidP="001E71E3">
            <w:pPr>
              <w:rPr>
                <w:sz w:val="20"/>
                <w:szCs w:val="20"/>
              </w:rPr>
            </w:pPr>
            <w:r w:rsidRPr="000F5777">
              <w:rPr>
                <w:sz w:val="20"/>
                <w:szCs w:val="20"/>
              </w:rPr>
              <w:t>Vrijednosno usklađenje imovine - Zajmovi ostalim IPK DP - dugoročni</w:t>
            </w:r>
          </w:p>
        </w:tc>
        <w:tc>
          <w:tcPr>
            <w:tcW w:w="1648" w:type="dxa"/>
            <w:tcBorders>
              <w:top w:val="nil"/>
              <w:left w:val="nil"/>
              <w:bottom w:val="single" w:sz="4" w:space="0" w:color="auto"/>
              <w:right w:val="single" w:sz="4" w:space="0" w:color="auto"/>
            </w:tcBorders>
            <w:shd w:val="clear" w:color="auto" w:fill="auto"/>
            <w:noWrap/>
            <w:vAlign w:val="center"/>
            <w:hideMark/>
          </w:tcPr>
          <w:p w14:paraId="2E381B44" w14:textId="77777777" w:rsidR="00CF3957" w:rsidRPr="000F5777" w:rsidRDefault="00CF3957" w:rsidP="001E71E3">
            <w:pPr>
              <w:jc w:val="right"/>
              <w:rPr>
                <w:sz w:val="20"/>
                <w:szCs w:val="20"/>
              </w:rPr>
            </w:pPr>
            <w:r w:rsidRPr="000F5777">
              <w:rPr>
                <w:sz w:val="20"/>
                <w:szCs w:val="20"/>
              </w:rPr>
              <w:t>22.095.750,00</w:t>
            </w:r>
          </w:p>
        </w:tc>
        <w:tc>
          <w:tcPr>
            <w:tcW w:w="1463" w:type="dxa"/>
            <w:tcBorders>
              <w:top w:val="nil"/>
              <w:left w:val="nil"/>
              <w:bottom w:val="single" w:sz="4" w:space="0" w:color="auto"/>
              <w:right w:val="single" w:sz="4" w:space="0" w:color="auto"/>
            </w:tcBorders>
            <w:shd w:val="clear" w:color="auto" w:fill="auto"/>
            <w:vAlign w:val="center"/>
            <w:hideMark/>
          </w:tcPr>
          <w:p w14:paraId="397AC0D1" w14:textId="77777777" w:rsidR="00CF3957" w:rsidRPr="000F5777" w:rsidRDefault="00CF3957" w:rsidP="001E71E3">
            <w:pPr>
              <w:jc w:val="center"/>
              <w:rPr>
                <w:sz w:val="20"/>
                <w:szCs w:val="20"/>
              </w:rPr>
            </w:pPr>
            <w:r w:rsidRPr="000F5777">
              <w:rPr>
                <w:b/>
                <w:bCs/>
                <w:sz w:val="20"/>
                <w:szCs w:val="20"/>
              </w:rPr>
              <w:t xml:space="preserve"> povećanje </w:t>
            </w:r>
            <w:r w:rsidRPr="000F5777">
              <w:rPr>
                <w:sz w:val="20"/>
                <w:szCs w:val="20"/>
              </w:rPr>
              <w:t>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3543E5D9" w14:textId="77777777" w:rsidR="00CF3957" w:rsidRPr="000F5777" w:rsidRDefault="00CF3957" w:rsidP="001E71E3">
            <w:pPr>
              <w:jc w:val="center"/>
              <w:rPr>
                <w:sz w:val="20"/>
                <w:szCs w:val="20"/>
              </w:rPr>
            </w:pPr>
            <w:r w:rsidRPr="000F5777">
              <w:rPr>
                <w:sz w:val="20"/>
                <w:szCs w:val="20"/>
              </w:rPr>
              <w:t>P011</w:t>
            </w:r>
          </w:p>
        </w:tc>
      </w:tr>
      <w:tr w:rsidR="002A7CFB" w:rsidRPr="000F5777" w14:paraId="6C6EB34B"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tcPr>
          <w:p w14:paraId="797463BD" w14:textId="0DA5B165" w:rsidR="002A7CFB" w:rsidRPr="000F5777" w:rsidRDefault="002A7CFB" w:rsidP="002A7CFB">
            <w:pPr>
              <w:rPr>
                <w:sz w:val="20"/>
                <w:szCs w:val="20"/>
              </w:rPr>
            </w:pPr>
            <w:r w:rsidRPr="002A7CFB">
              <w:rPr>
                <w:sz w:val="20"/>
                <w:szCs w:val="20"/>
              </w:rPr>
              <w:t>Vrijednosno usklađenje imovine - Potraž.z</w:t>
            </w:r>
            <w:r w:rsidR="009B6AE3">
              <w:rPr>
                <w:sz w:val="20"/>
                <w:szCs w:val="20"/>
              </w:rPr>
              <w:t>a dane zajmove (FRZ, Munja d.o.o.</w:t>
            </w:r>
            <w:r>
              <w:rPr>
                <w:sz w:val="20"/>
                <w:szCs w:val="20"/>
              </w:rPr>
              <w:t>)</w:t>
            </w:r>
          </w:p>
        </w:tc>
        <w:tc>
          <w:tcPr>
            <w:tcW w:w="1648" w:type="dxa"/>
            <w:tcBorders>
              <w:top w:val="nil"/>
              <w:left w:val="nil"/>
              <w:bottom w:val="single" w:sz="4" w:space="0" w:color="auto"/>
              <w:right w:val="single" w:sz="4" w:space="0" w:color="auto"/>
            </w:tcBorders>
            <w:shd w:val="clear" w:color="auto" w:fill="auto"/>
            <w:noWrap/>
            <w:vAlign w:val="center"/>
          </w:tcPr>
          <w:p w14:paraId="012337CF" w14:textId="6AE3C138" w:rsidR="002A7CFB" w:rsidRPr="000F5777" w:rsidRDefault="002A7CFB" w:rsidP="001E71E3">
            <w:pPr>
              <w:jc w:val="right"/>
              <w:rPr>
                <w:sz w:val="20"/>
                <w:szCs w:val="20"/>
              </w:rPr>
            </w:pPr>
            <w:r w:rsidRPr="002A7CFB">
              <w:rPr>
                <w:sz w:val="20"/>
                <w:szCs w:val="20"/>
              </w:rPr>
              <w:t>-5.009.997,94</w:t>
            </w:r>
          </w:p>
        </w:tc>
        <w:tc>
          <w:tcPr>
            <w:tcW w:w="1463" w:type="dxa"/>
            <w:tcBorders>
              <w:top w:val="nil"/>
              <w:left w:val="nil"/>
              <w:bottom w:val="single" w:sz="4" w:space="0" w:color="auto"/>
              <w:right w:val="single" w:sz="4" w:space="0" w:color="auto"/>
            </w:tcBorders>
            <w:shd w:val="clear" w:color="auto" w:fill="auto"/>
            <w:vAlign w:val="center"/>
          </w:tcPr>
          <w:p w14:paraId="3F20B446" w14:textId="779497DB" w:rsidR="002A7CFB" w:rsidRPr="000F5777" w:rsidRDefault="002A7CFB" w:rsidP="001E71E3">
            <w:pPr>
              <w:jc w:val="center"/>
              <w:rPr>
                <w:b/>
                <w:bCs/>
                <w:sz w:val="20"/>
                <w:szCs w:val="20"/>
              </w:rPr>
            </w:pPr>
            <w:r w:rsidRPr="002A7CFB">
              <w:rPr>
                <w:b/>
                <w:bCs/>
                <w:sz w:val="20"/>
                <w:szCs w:val="20"/>
              </w:rPr>
              <w:t xml:space="preserve">smanjenje </w:t>
            </w:r>
            <w:r w:rsidRPr="002A7CFB">
              <w:rPr>
                <w:bCs/>
                <w:sz w:val="20"/>
                <w:szCs w:val="20"/>
              </w:rPr>
              <w:t>vrijednosti imovine</w:t>
            </w:r>
          </w:p>
        </w:tc>
        <w:tc>
          <w:tcPr>
            <w:tcW w:w="1261" w:type="dxa"/>
            <w:tcBorders>
              <w:top w:val="nil"/>
              <w:left w:val="nil"/>
              <w:bottom w:val="single" w:sz="4" w:space="0" w:color="auto"/>
              <w:right w:val="single" w:sz="8" w:space="0" w:color="auto"/>
            </w:tcBorders>
            <w:shd w:val="clear" w:color="auto" w:fill="auto"/>
            <w:vAlign w:val="center"/>
          </w:tcPr>
          <w:p w14:paraId="64B0C47C" w14:textId="47323D50" w:rsidR="002A7CFB" w:rsidRPr="000F5777" w:rsidRDefault="002A7CFB" w:rsidP="001E71E3">
            <w:pPr>
              <w:jc w:val="center"/>
              <w:rPr>
                <w:sz w:val="20"/>
                <w:szCs w:val="20"/>
              </w:rPr>
            </w:pPr>
            <w:r>
              <w:rPr>
                <w:sz w:val="20"/>
                <w:szCs w:val="20"/>
              </w:rPr>
              <w:t>P011</w:t>
            </w:r>
          </w:p>
        </w:tc>
      </w:tr>
      <w:tr w:rsidR="00CF3957" w:rsidRPr="000F5777" w14:paraId="422BAE45"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00B9B068" w14:textId="77777777" w:rsidR="00CF3957" w:rsidRPr="000F5777" w:rsidRDefault="00CF3957" w:rsidP="001E71E3">
            <w:pPr>
              <w:rPr>
                <w:sz w:val="20"/>
                <w:szCs w:val="20"/>
              </w:rPr>
            </w:pPr>
            <w:r w:rsidRPr="000F5777">
              <w:rPr>
                <w:sz w:val="20"/>
                <w:szCs w:val="20"/>
              </w:rPr>
              <w:t>Vrijednosno usklađenje imovine -Ostali inozemni vrijednosni papiri - dugoročni</w:t>
            </w:r>
          </w:p>
        </w:tc>
        <w:tc>
          <w:tcPr>
            <w:tcW w:w="1648" w:type="dxa"/>
            <w:tcBorders>
              <w:top w:val="nil"/>
              <w:left w:val="nil"/>
              <w:bottom w:val="single" w:sz="4" w:space="0" w:color="auto"/>
              <w:right w:val="single" w:sz="4" w:space="0" w:color="auto"/>
            </w:tcBorders>
            <w:shd w:val="clear" w:color="auto" w:fill="auto"/>
            <w:noWrap/>
            <w:vAlign w:val="center"/>
            <w:hideMark/>
          </w:tcPr>
          <w:p w14:paraId="6EB13668" w14:textId="77777777" w:rsidR="00CF3957" w:rsidRPr="000F5777" w:rsidRDefault="00CF3957" w:rsidP="001E71E3">
            <w:pPr>
              <w:jc w:val="right"/>
              <w:rPr>
                <w:sz w:val="20"/>
                <w:szCs w:val="20"/>
              </w:rPr>
            </w:pPr>
            <w:r w:rsidRPr="000F5777">
              <w:rPr>
                <w:sz w:val="20"/>
                <w:szCs w:val="20"/>
              </w:rPr>
              <w:t>1.696.294,81</w:t>
            </w:r>
          </w:p>
        </w:tc>
        <w:tc>
          <w:tcPr>
            <w:tcW w:w="1463" w:type="dxa"/>
            <w:tcBorders>
              <w:top w:val="nil"/>
              <w:left w:val="nil"/>
              <w:bottom w:val="single" w:sz="4" w:space="0" w:color="auto"/>
              <w:right w:val="single" w:sz="4" w:space="0" w:color="auto"/>
            </w:tcBorders>
            <w:shd w:val="clear" w:color="auto" w:fill="auto"/>
            <w:vAlign w:val="center"/>
            <w:hideMark/>
          </w:tcPr>
          <w:p w14:paraId="1F812F91"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3A0A8F63" w14:textId="77777777" w:rsidR="00CF3957" w:rsidRPr="000F5777" w:rsidRDefault="00CF3957" w:rsidP="001E71E3">
            <w:pPr>
              <w:jc w:val="center"/>
              <w:rPr>
                <w:sz w:val="20"/>
                <w:szCs w:val="20"/>
              </w:rPr>
            </w:pPr>
            <w:r w:rsidRPr="000F5777">
              <w:rPr>
                <w:sz w:val="20"/>
                <w:szCs w:val="20"/>
              </w:rPr>
              <w:t>P012</w:t>
            </w:r>
          </w:p>
        </w:tc>
      </w:tr>
      <w:tr w:rsidR="00CF3957" w:rsidRPr="000F5777" w14:paraId="6672F266"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20C956B9" w14:textId="77777777" w:rsidR="00CF3957" w:rsidRPr="000F5777" w:rsidRDefault="00CF3957" w:rsidP="001E71E3">
            <w:pPr>
              <w:rPr>
                <w:sz w:val="20"/>
                <w:szCs w:val="20"/>
              </w:rPr>
            </w:pPr>
            <w:r w:rsidRPr="000F5777">
              <w:rPr>
                <w:sz w:val="20"/>
                <w:szCs w:val="20"/>
              </w:rPr>
              <w:t>Vrijednosno usklađenje imovine -Dionice i udjeli - članski kapital IBRD</w:t>
            </w:r>
          </w:p>
        </w:tc>
        <w:tc>
          <w:tcPr>
            <w:tcW w:w="1648" w:type="dxa"/>
            <w:tcBorders>
              <w:top w:val="nil"/>
              <w:left w:val="nil"/>
              <w:bottom w:val="single" w:sz="4" w:space="0" w:color="auto"/>
              <w:right w:val="single" w:sz="4" w:space="0" w:color="auto"/>
            </w:tcBorders>
            <w:shd w:val="clear" w:color="auto" w:fill="auto"/>
            <w:noWrap/>
            <w:vAlign w:val="center"/>
            <w:hideMark/>
          </w:tcPr>
          <w:p w14:paraId="6710BFE3" w14:textId="77777777" w:rsidR="00CF3957" w:rsidRPr="000F5777" w:rsidRDefault="00CF3957" w:rsidP="001E71E3">
            <w:pPr>
              <w:jc w:val="right"/>
              <w:rPr>
                <w:sz w:val="20"/>
                <w:szCs w:val="20"/>
              </w:rPr>
            </w:pPr>
            <w:r w:rsidRPr="000F5777">
              <w:rPr>
                <w:sz w:val="20"/>
                <w:szCs w:val="20"/>
              </w:rPr>
              <w:t>11.184.534,10</w:t>
            </w:r>
          </w:p>
        </w:tc>
        <w:tc>
          <w:tcPr>
            <w:tcW w:w="1463" w:type="dxa"/>
            <w:tcBorders>
              <w:top w:val="nil"/>
              <w:left w:val="nil"/>
              <w:bottom w:val="single" w:sz="4" w:space="0" w:color="auto"/>
              <w:right w:val="single" w:sz="4" w:space="0" w:color="auto"/>
            </w:tcBorders>
            <w:shd w:val="clear" w:color="auto" w:fill="auto"/>
            <w:vAlign w:val="center"/>
            <w:hideMark/>
          </w:tcPr>
          <w:p w14:paraId="089E48A7"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3B55D256" w14:textId="77777777" w:rsidR="00CF3957" w:rsidRPr="000F5777" w:rsidRDefault="00CF3957" w:rsidP="001E71E3">
            <w:pPr>
              <w:jc w:val="center"/>
              <w:rPr>
                <w:sz w:val="20"/>
                <w:szCs w:val="20"/>
              </w:rPr>
            </w:pPr>
            <w:r w:rsidRPr="000F5777">
              <w:rPr>
                <w:sz w:val="20"/>
                <w:szCs w:val="20"/>
              </w:rPr>
              <w:t>P013</w:t>
            </w:r>
          </w:p>
        </w:tc>
      </w:tr>
      <w:tr w:rsidR="00CF3957" w:rsidRPr="000F5777" w14:paraId="4612DBBB"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62CA25FE" w14:textId="77777777" w:rsidR="00CF3957" w:rsidRPr="000F5777" w:rsidRDefault="00CF3957" w:rsidP="001E71E3">
            <w:pPr>
              <w:rPr>
                <w:sz w:val="20"/>
                <w:szCs w:val="20"/>
              </w:rPr>
            </w:pPr>
            <w:r w:rsidRPr="000F5777">
              <w:rPr>
                <w:sz w:val="20"/>
                <w:szCs w:val="20"/>
              </w:rPr>
              <w:lastRenderedPageBreak/>
              <w:t>Vrijednosno usklađenje imovine -Dionice i udjeli - članski kapital IFC</w:t>
            </w:r>
          </w:p>
        </w:tc>
        <w:tc>
          <w:tcPr>
            <w:tcW w:w="1648" w:type="dxa"/>
            <w:tcBorders>
              <w:top w:val="nil"/>
              <w:left w:val="nil"/>
              <w:bottom w:val="single" w:sz="4" w:space="0" w:color="auto"/>
              <w:right w:val="single" w:sz="4" w:space="0" w:color="auto"/>
            </w:tcBorders>
            <w:shd w:val="clear" w:color="auto" w:fill="auto"/>
            <w:noWrap/>
            <w:vAlign w:val="center"/>
            <w:hideMark/>
          </w:tcPr>
          <w:p w14:paraId="0020738B" w14:textId="77777777" w:rsidR="00CF3957" w:rsidRPr="000F5777" w:rsidRDefault="00CF3957" w:rsidP="001E71E3">
            <w:pPr>
              <w:jc w:val="right"/>
              <w:rPr>
                <w:sz w:val="20"/>
                <w:szCs w:val="20"/>
              </w:rPr>
            </w:pPr>
            <w:r w:rsidRPr="000F5777">
              <w:rPr>
                <w:sz w:val="20"/>
                <w:szCs w:val="20"/>
              </w:rPr>
              <w:t>10.425.629,06</w:t>
            </w:r>
          </w:p>
        </w:tc>
        <w:tc>
          <w:tcPr>
            <w:tcW w:w="1463" w:type="dxa"/>
            <w:tcBorders>
              <w:top w:val="nil"/>
              <w:left w:val="nil"/>
              <w:bottom w:val="single" w:sz="4" w:space="0" w:color="auto"/>
              <w:right w:val="single" w:sz="4" w:space="0" w:color="auto"/>
            </w:tcBorders>
            <w:shd w:val="clear" w:color="auto" w:fill="auto"/>
            <w:vAlign w:val="center"/>
            <w:hideMark/>
          </w:tcPr>
          <w:p w14:paraId="77FD4F0B"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4BCE5800" w14:textId="77777777" w:rsidR="00CF3957" w:rsidRPr="000F5777" w:rsidRDefault="00CF3957" w:rsidP="001E71E3">
            <w:pPr>
              <w:jc w:val="center"/>
              <w:rPr>
                <w:sz w:val="20"/>
                <w:szCs w:val="20"/>
              </w:rPr>
            </w:pPr>
            <w:r w:rsidRPr="000F5777">
              <w:rPr>
                <w:sz w:val="20"/>
                <w:szCs w:val="20"/>
              </w:rPr>
              <w:t>P013</w:t>
            </w:r>
          </w:p>
        </w:tc>
      </w:tr>
      <w:tr w:rsidR="00CF3957" w:rsidRPr="000F5777" w14:paraId="1ABE9CB3"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5C8465B4" w14:textId="77777777" w:rsidR="00CF3957" w:rsidRPr="000F5777" w:rsidRDefault="00CF3957" w:rsidP="001E71E3">
            <w:pPr>
              <w:rPr>
                <w:sz w:val="20"/>
                <w:szCs w:val="20"/>
              </w:rPr>
            </w:pPr>
            <w:r w:rsidRPr="000F5777">
              <w:rPr>
                <w:sz w:val="20"/>
                <w:szCs w:val="20"/>
              </w:rPr>
              <w:t>Vrijednosno usklađenje imovine -Dionice i udjeli - članski kapital MIGA</w:t>
            </w:r>
          </w:p>
        </w:tc>
        <w:tc>
          <w:tcPr>
            <w:tcW w:w="1648" w:type="dxa"/>
            <w:tcBorders>
              <w:top w:val="nil"/>
              <w:left w:val="nil"/>
              <w:bottom w:val="single" w:sz="4" w:space="0" w:color="auto"/>
              <w:right w:val="single" w:sz="4" w:space="0" w:color="auto"/>
            </w:tcBorders>
            <w:shd w:val="clear" w:color="auto" w:fill="auto"/>
            <w:noWrap/>
            <w:vAlign w:val="center"/>
            <w:hideMark/>
          </w:tcPr>
          <w:p w14:paraId="5E3EA340" w14:textId="77777777" w:rsidR="00CF3957" w:rsidRPr="000F5777" w:rsidRDefault="00CF3957" w:rsidP="001E71E3">
            <w:pPr>
              <w:jc w:val="right"/>
              <w:rPr>
                <w:sz w:val="20"/>
                <w:szCs w:val="20"/>
              </w:rPr>
            </w:pPr>
            <w:r w:rsidRPr="000F5777">
              <w:rPr>
                <w:sz w:val="20"/>
                <w:szCs w:val="20"/>
              </w:rPr>
              <w:t>284.990,89</w:t>
            </w:r>
          </w:p>
        </w:tc>
        <w:tc>
          <w:tcPr>
            <w:tcW w:w="1463" w:type="dxa"/>
            <w:tcBorders>
              <w:top w:val="nil"/>
              <w:left w:val="nil"/>
              <w:bottom w:val="single" w:sz="4" w:space="0" w:color="auto"/>
              <w:right w:val="single" w:sz="4" w:space="0" w:color="auto"/>
            </w:tcBorders>
            <w:shd w:val="clear" w:color="auto" w:fill="auto"/>
            <w:vAlign w:val="center"/>
            <w:hideMark/>
          </w:tcPr>
          <w:p w14:paraId="2409A791"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216E2CEF" w14:textId="77777777" w:rsidR="00CF3957" w:rsidRPr="000F5777" w:rsidRDefault="00CF3957" w:rsidP="001E71E3">
            <w:pPr>
              <w:jc w:val="center"/>
              <w:rPr>
                <w:sz w:val="20"/>
                <w:szCs w:val="20"/>
              </w:rPr>
            </w:pPr>
            <w:r w:rsidRPr="000F5777">
              <w:rPr>
                <w:sz w:val="20"/>
                <w:szCs w:val="20"/>
              </w:rPr>
              <w:t>P013</w:t>
            </w:r>
          </w:p>
        </w:tc>
      </w:tr>
      <w:tr w:rsidR="00CF3957" w:rsidRPr="000F5777" w14:paraId="76AF35C6"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1D8E4AA2" w14:textId="77777777" w:rsidR="00CF3957" w:rsidRPr="000F5777" w:rsidRDefault="00CF3957" w:rsidP="001E71E3">
            <w:pPr>
              <w:rPr>
                <w:sz w:val="20"/>
                <w:szCs w:val="20"/>
              </w:rPr>
            </w:pPr>
            <w:r w:rsidRPr="000F5777">
              <w:rPr>
                <w:sz w:val="20"/>
                <w:szCs w:val="20"/>
              </w:rPr>
              <w:t>Vrijednosno usklađenje imovine -Dionice i udjeli - članski kapital EBRD</w:t>
            </w:r>
          </w:p>
        </w:tc>
        <w:tc>
          <w:tcPr>
            <w:tcW w:w="1648" w:type="dxa"/>
            <w:tcBorders>
              <w:top w:val="nil"/>
              <w:left w:val="nil"/>
              <w:bottom w:val="single" w:sz="4" w:space="0" w:color="auto"/>
              <w:right w:val="single" w:sz="4" w:space="0" w:color="auto"/>
            </w:tcBorders>
            <w:shd w:val="clear" w:color="auto" w:fill="auto"/>
            <w:noWrap/>
            <w:vAlign w:val="center"/>
            <w:hideMark/>
          </w:tcPr>
          <w:p w14:paraId="76D1E6E4" w14:textId="77777777" w:rsidR="00CF3957" w:rsidRPr="000F5777" w:rsidRDefault="00CF3957" w:rsidP="001E71E3">
            <w:pPr>
              <w:jc w:val="right"/>
              <w:rPr>
                <w:sz w:val="20"/>
                <w:szCs w:val="20"/>
              </w:rPr>
            </w:pPr>
            <w:r w:rsidRPr="000F5777">
              <w:rPr>
                <w:sz w:val="20"/>
                <w:szCs w:val="20"/>
              </w:rPr>
              <w:t>395.470,60</w:t>
            </w:r>
          </w:p>
        </w:tc>
        <w:tc>
          <w:tcPr>
            <w:tcW w:w="1463" w:type="dxa"/>
            <w:tcBorders>
              <w:top w:val="nil"/>
              <w:left w:val="nil"/>
              <w:bottom w:val="single" w:sz="4" w:space="0" w:color="auto"/>
              <w:right w:val="single" w:sz="4" w:space="0" w:color="auto"/>
            </w:tcBorders>
            <w:shd w:val="clear" w:color="auto" w:fill="auto"/>
            <w:vAlign w:val="center"/>
            <w:hideMark/>
          </w:tcPr>
          <w:p w14:paraId="6D93A1F3" w14:textId="77777777" w:rsidR="00CF3957" w:rsidRPr="000F5777" w:rsidRDefault="00CF3957" w:rsidP="001E71E3">
            <w:pPr>
              <w:jc w:val="center"/>
              <w:rPr>
                <w:sz w:val="20"/>
                <w:szCs w:val="20"/>
              </w:rPr>
            </w:pPr>
            <w:r w:rsidRPr="000F5777">
              <w:rPr>
                <w:b/>
                <w:bCs/>
                <w:sz w:val="20"/>
                <w:szCs w:val="20"/>
              </w:rPr>
              <w:t xml:space="preserve"> 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53B8E17C" w14:textId="77777777" w:rsidR="00CF3957" w:rsidRPr="000F5777" w:rsidRDefault="00CF3957" w:rsidP="001E71E3">
            <w:pPr>
              <w:jc w:val="center"/>
              <w:rPr>
                <w:sz w:val="20"/>
                <w:szCs w:val="20"/>
              </w:rPr>
            </w:pPr>
            <w:r w:rsidRPr="000F5777">
              <w:rPr>
                <w:sz w:val="20"/>
                <w:szCs w:val="20"/>
              </w:rPr>
              <w:t>P013</w:t>
            </w:r>
          </w:p>
        </w:tc>
      </w:tr>
      <w:tr w:rsidR="00CF3957" w:rsidRPr="000F5777" w14:paraId="345F6A37"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3AAEE411" w14:textId="77777777" w:rsidR="00CF3957" w:rsidRPr="000F5777" w:rsidRDefault="00CF3957" w:rsidP="001E71E3">
            <w:pPr>
              <w:rPr>
                <w:sz w:val="20"/>
                <w:szCs w:val="20"/>
              </w:rPr>
            </w:pPr>
            <w:r w:rsidRPr="000F5777">
              <w:rPr>
                <w:sz w:val="20"/>
                <w:szCs w:val="20"/>
              </w:rPr>
              <w:t>Vrijednosno usklađenje imovine -Dionice i udjeli - članski kapital CEB</w:t>
            </w:r>
          </w:p>
        </w:tc>
        <w:tc>
          <w:tcPr>
            <w:tcW w:w="1648" w:type="dxa"/>
            <w:tcBorders>
              <w:top w:val="nil"/>
              <w:left w:val="nil"/>
              <w:bottom w:val="single" w:sz="4" w:space="0" w:color="auto"/>
              <w:right w:val="single" w:sz="4" w:space="0" w:color="auto"/>
            </w:tcBorders>
            <w:shd w:val="clear" w:color="auto" w:fill="auto"/>
            <w:noWrap/>
            <w:vAlign w:val="center"/>
            <w:hideMark/>
          </w:tcPr>
          <w:p w14:paraId="627032D2" w14:textId="77777777" w:rsidR="00CF3957" w:rsidRPr="000F5777" w:rsidRDefault="00CF3957" w:rsidP="001E71E3">
            <w:pPr>
              <w:jc w:val="right"/>
              <w:rPr>
                <w:sz w:val="20"/>
                <w:szCs w:val="20"/>
              </w:rPr>
            </w:pPr>
            <w:r w:rsidRPr="000F5777">
              <w:rPr>
                <w:sz w:val="20"/>
                <w:szCs w:val="20"/>
              </w:rPr>
              <w:t>41.116,78</w:t>
            </w:r>
          </w:p>
        </w:tc>
        <w:tc>
          <w:tcPr>
            <w:tcW w:w="1463" w:type="dxa"/>
            <w:tcBorders>
              <w:top w:val="nil"/>
              <w:left w:val="nil"/>
              <w:bottom w:val="single" w:sz="4" w:space="0" w:color="auto"/>
              <w:right w:val="single" w:sz="4" w:space="0" w:color="auto"/>
            </w:tcBorders>
            <w:shd w:val="clear" w:color="auto" w:fill="auto"/>
            <w:vAlign w:val="center"/>
            <w:hideMark/>
          </w:tcPr>
          <w:p w14:paraId="055A898B" w14:textId="77777777" w:rsidR="00CF3957" w:rsidRPr="000F5777" w:rsidRDefault="00CF3957" w:rsidP="001E71E3">
            <w:pPr>
              <w:jc w:val="center"/>
              <w:rPr>
                <w:sz w:val="20"/>
                <w:szCs w:val="20"/>
              </w:rPr>
            </w:pPr>
            <w:r w:rsidRPr="000F5777">
              <w:rPr>
                <w:b/>
                <w:bCs/>
                <w:sz w:val="20"/>
                <w:szCs w:val="20"/>
              </w:rPr>
              <w:t xml:space="preserve"> 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7D5B5882" w14:textId="77777777" w:rsidR="00CF3957" w:rsidRPr="000F5777" w:rsidRDefault="00CF3957" w:rsidP="001E71E3">
            <w:pPr>
              <w:jc w:val="center"/>
              <w:rPr>
                <w:sz w:val="20"/>
                <w:szCs w:val="20"/>
              </w:rPr>
            </w:pPr>
            <w:r w:rsidRPr="000F5777">
              <w:rPr>
                <w:sz w:val="20"/>
                <w:szCs w:val="20"/>
              </w:rPr>
              <w:t>P013</w:t>
            </w:r>
          </w:p>
        </w:tc>
      </w:tr>
      <w:tr w:rsidR="00CF3957" w:rsidRPr="000F5777" w14:paraId="0C20745A" w14:textId="77777777" w:rsidTr="001E71E3">
        <w:trPr>
          <w:trHeight w:val="51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4B7A848A" w14:textId="77777777" w:rsidR="00CF3957" w:rsidRPr="000F5777" w:rsidRDefault="00CF3957" w:rsidP="001E71E3">
            <w:pPr>
              <w:rPr>
                <w:sz w:val="20"/>
                <w:szCs w:val="20"/>
              </w:rPr>
            </w:pPr>
            <w:r w:rsidRPr="000F5777">
              <w:rPr>
                <w:sz w:val="20"/>
                <w:szCs w:val="20"/>
              </w:rPr>
              <w:t>Vrijednosno usklađenje imovine -Dionice i udjeli - članski kapital IDB</w:t>
            </w:r>
          </w:p>
        </w:tc>
        <w:tc>
          <w:tcPr>
            <w:tcW w:w="1648" w:type="dxa"/>
            <w:tcBorders>
              <w:top w:val="nil"/>
              <w:left w:val="nil"/>
              <w:bottom w:val="single" w:sz="4" w:space="0" w:color="auto"/>
              <w:right w:val="single" w:sz="4" w:space="0" w:color="auto"/>
            </w:tcBorders>
            <w:shd w:val="clear" w:color="auto" w:fill="auto"/>
            <w:noWrap/>
            <w:vAlign w:val="center"/>
            <w:hideMark/>
          </w:tcPr>
          <w:p w14:paraId="363B83B1" w14:textId="77777777" w:rsidR="00CF3957" w:rsidRPr="000F5777" w:rsidRDefault="00CF3957" w:rsidP="001E71E3">
            <w:pPr>
              <w:jc w:val="right"/>
              <w:rPr>
                <w:sz w:val="20"/>
                <w:szCs w:val="20"/>
              </w:rPr>
            </w:pPr>
            <w:r w:rsidRPr="000F5777">
              <w:rPr>
                <w:sz w:val="20"/>
                <w:szCs w:val="20"/>
              </w:rPr>
              <w:t>2.705.109,98</w:t>
            </w:r>
          </w:p>
        </w:tc>
        <w:tc>
          <w:tcPr>
            <w:tcW w:w="1463" w:type="dxa"/>
            <w:tcBorders>
              <w:top w:val="nil"/>
              <w:left w:val="nil"/>
              <w:bottom w:val="single" w:sz="4" w:space="0" w:color="auto"/>
              <w:right w:val="single" w:sz="4" w:space="0" w:color="auto"/>
            </w:tcBorders>
            <w:shd w:val="clear" w:color="auto" w:fill="auto"/>
            <w:vAlign w:val="center"/>
            <w:hideMark/>
          </w:tcPr>
          <w:p w14:paraId="2437E3CF"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0F2B531F" w14:textId="77777777" w:rsidR="00CF3957" w:rsidRPr="000F5777" w:rsidRDefault="00CF3957" w:rsidP="001E71E3">
            <w:pPr>
              <w:jc w:val="center"/>
              <w:rPr>
                <w:sz w:val="20"/>
                <w:szCs w:val="20"/>
              </w:rPr>
            </w:pPr>
            <w:r w:rsidRPr="000F5777">
              <w:rPr>
                <w:sz w:val="20"/>
                <w:szCs w:val="20"/>
              </w:rPr>
              <w:t>P013</w:t>
            </w:r>
          </w:p>
        </w:tc>
      </w:tr>
      <w:tr w:rsidR="00CF3957" w:rsidRPr="000F5777" w14:paraId="47FF4933" w14:textId="77777777" w:rsidTr="001E71E3">
        <w:trPr>
          <w:trHeight w:val="54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541C5AFD" w14:textId="77777777" w:rsidR="00CF3957" w:rsidRPr="000F5777" w:rsidRDefault="00CF3957" w:rsidP="001E71E3">
            <w:pPr>
              <w:rPr>
                <w:sz w:val="20"/>
                <w:szCs w:val="20"/>
              </w:rPr>
            </w:pPr>
            <w:r w:rsidRPr="000F5777">
              <w:rPr>
                <w:sz w:val="20"/>
                <w:szCs w:val="20"/>
              </w:rPr>
              <w:t>Vrijednosno usklađenje imovine -Dionice i udjeli - članski kapital EIB</w:t>
            </w:r>
          </w:p>
        </w:tc>
        <w:tc>
          <w:tcPr>
            <w:tcW w:w="1648" w:type="dxa"/>
            <w:tcBorders>
              <w:top w:val="nil"/>
              <w:left w:val="nil"/>
              <w:bottom w:val="single" w:sz="4" w:space="0" w:color="auto"/>
              <w:right w:val="single" w:sz="4" w:space="0" w:color="auto"/>
            </w:tcBorders>
            <w:shd w:val="clear" w:color="auto" w:fill="auto"/>
            <w:noWrap/>
            <w:vAlign w:val="center"/>
            <w:hideMark/>
          </w:tcPr>
          <w:p w14:paraId="5EDB81E3" w14:textId="77777777" w:rsidR="00CF3957" w:rsidRPr="000F5777" w:rsidRDefault="00CF3957" w:rsidP="001E71E3">
            <w:pPr>
              <w:jc w:val="right"/>
              <w:rPr>
                <w:sz w:val="20"/>
                <w:szCs w:val="20"/>
              </w:rPr>
            </w:pPr>
            <w:r w:rsidRPr="000F5777">
              <w:rPr>
                <w:sz w:val="20"/>
                <w:szCs w:val="20"/>
              </w:rPr>
              <w:t>1.377.483,71</w:t>
            </w:r>
          </w:p>
        </w:tc>
        <w:tc>
          <w:tcPr>
            <w:tcW w:w="1463" w:type="dxa"/>
            <w:tcBorders>
              <w:top w:val="nil"/>
              <w:left w:val="nil"/>
              <w:bottom w:val="single" w:sz="4" w:space="0" w:color="auto"/>
              <w:right w:val="single" w:sz="4" w:space="0" w:color="auto"/>
            </w:tcBorders>
            <w:shd w:val="clear" w:color="auto" w:fill="auto"/>
            <w:vAlign w:val="center"/>
            <w:hideMark/>
          </w:tcPr>
          <w:p w14:paraId="2612C379" w14:textId="77777777" w:rsidR="00CF3957" w:rsidRPr="000F5777" w:rsidRDefault="00CF3957" w:rsidP="001E71E3">
            <w:pPr>
              <w:jc w:val="center"/>
              <w:rPr>
                <w:sz w:val="20"/>
                <w:szCs w:val="20"/>
              </w:rPr>
            </w:pPr>
            <w:r w:rsidRPr="000F5777">
              <w:rPr>
                <w:b/>
                <w:bCs/>
                <w:sz w:val="20"/>
                <w:szCs w:val="20"/>
              </w:rPr>
              <w:t xml:space="preserve"> 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38E1C2E9" w14:textId="77777777" w:rsidR="00CF3957" w:rsidRPr="000F5777" w:rsidRDefault="00CF3957" w:rsidP="001E71E3">
            <w:pPr>
              <w:jc w:val="center"/>
              <w:rPr>
                <w:sz w:val="20"/>
                <w:szCs w:val="20"/>
              </w:rPr>
            </w:pPr>
            <w:r w:rsidRPr="000F5777">
              <w:rPr>
                <w:sz w:val="20"/>
                <w:szCs w:val="20"/>
              </w:rPr>
              <w:t>P013</w:t>
            </w:r>
          </w:p>
        </w:tc>
      </w:tr>
      <w:tr w:rsidR="00CF3957" w:rsidRPr="000F5777" w14:paraId="5BF61D4B" w14:textId="77777777" w:rsidTr="001E71E3">
        <w:trPr>
          <w:trHeight w:val="54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27A7FA3A" w14:textId="77777777" w:rsidR="00CF3957" w:rsidRPr="000F5777" w:rsidRDefault="00CF3957" w:rsidP="001E71E3">
            <w:pPr>
              <w:rPr>
                <w:sz w:val="20"/>
                <w:szCs w:val="20"/>
              </w:rPr>
            </w:pPr>
            <w:r w:rsidRPr="000F5777">
              <w:rPr>
                <w:sz w:val="20"/>
                <w:szCs w:val="20"/>
              </w:rPr>
              <w:t xml:space="preserve">Vrijednosno usklađenje imovine -Dionice i udjeli - članski kapital    </w:t>
            </w:r>
            <w:r w:rsidRPr="000F5777">
              <w:rPr>
                <w:color w:val="000000"/>
                <w:sz w:val="20"/>
                <w:szCs w:val="20"/>
              </w:rPr>
              <w:t xml:space="preserve"> IIC</w:t>
            </w:r>
          </w:p>
        </w:tc>
        <w:tc>
          <w:tcPr>
            <w:tcW w:w="1648" w:type="dxa"/>
            <w:tcBorders>
              <w:top w:val="nil"/>
              <w:left w:val="nil"/>
              <w:bottom w:val="single" w:sz="4" w:space="0" w:color="auto"/>
              <w:right w:val="single" w:sz="4" w:space="0" w:color="auto"/>
            </w:tcBorders>
            <w:shd w:val="clear" w:color="auto" w:fill="auto"/>
            <w:noWrap/>
            <w:vAlign w:val="center"/>
            <w:hideMark/>
          </w:tcPr>
          <w:p w14:paraId="72374E98" w14:textId="77777777" w:rsidR="00CF3957" w:rsidRPr="000F5777" w:rsidRDefault="00CF3957" w:rsidP="001E71E3">
            <w:pPr>
              <w:jc w:val="right"/>
              <w:rPr>
                <w:sz w:val="20"/>
                <w:szCs w:val="20"/>
              </w:rPr>
            </w:pPr>
            <w:r w:rsidRPr="000F5777">
              <w:rPr>
                <w:sz w:val="20"/>
                <w:szCs w:val="20"/>
              </w:rPr>
              <w:t>73.657,89</w:t>
            </w:r>
          </w:p>
        </w:tc>
        <w:tc>
          <w:tcPr>
            <w:tcW w:w="1463" w:type="dxa"/>
            <w:tcBorders>
              <w:top w:val="nil"/>
              <w:left w:val="nil"/>
              <w:bottom w:val="single" w:sz="4" w:space="0" w:color="auto"/>
              <w:right w:val="single" w:sz="4" w:space="0" w:color="auto"/>
            </w:tcBorders>
            <w:shd w:val="clear" w:color="auto" w:fill="auto"/>
            <w:vAlign w:val="center"/>
            <w:hideMark/>
          </w:tcPr>
          <w:p w14:paraId="4ECF2104"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7B3283C5" w14:textId="77777777" w:rsidR="00CF3957" w:rsidRPr="000F5777" w:rsidRDefault="00CF3957" w:rsidP="001E71E3">
            <w:pPr>
              <w:jc w:val="center"/>
              <w:rPr>
                <w:sz w:val="20"/>
                <w:szCs w:val="20"/>
              </w:rPr>
            </w:pPr>
            <w:r w:rsidRPr="000F5777">
              <w:rPr>
                <w:sz w:val="20"/>
                <w:szCs w:val="20"/>
              </w:rPr>
              <w:t>P013</w:t>
            </w:r>
          </w:p>
        </w:tc>
      </w:tr>
      <w:tr w:rsidR="00CF3957" w:rsidRPr="000F5777" w14:paraId="5848C677" w14:textId="77777777" w:rsidTr="001E71E3">
        <w:trPr>
          <w:trHeight w:val="54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0BCEA27D" w14:textId="77777777" w:rsidR="00CF3957" w:rsidRPr="000F5777" w:rsidRDefault="00CF3957" w:rsidP="001E71E3">
            <w:pPr>
              <w:rPr>
                <w:sz w:val="20"/>
                <w:szCs w:val="20"/>
              </w:rPr>
            </w:pPr>
            <w:r w:rsidRPr="000F5777">
              <w:rPr>
                <w:sz w:val="20"/>
                <w:szCs w:val="20"/>
              </w:rPr>
              <w:t>Vrijednosno usklađenje imovine - Dionice i udjeli - članski kapital AIIB</w:t>
            </w:r>
          </w:p>
        </w:tc>
        <w:tc>
          <w:tcPr>
            <w:tcW w:w="1648" w:type="dxa"/>
            <w:tcBorders>
              <w:top w:val="nil"/>
              <w:left w:val="nil"/>
              <w:bottom w:val="single" w:sz="4" w:space="0" w:color="auto"/>
              <w:right w:val="single" w:sz="4" w:space="0" w:color="auto"/>
            </w:tcBorders>
            <w:shd w:val="clear" w:color="auto" w:fill="auto"/>
            <w:noWrap/>
            <w:vAlign w:val="center"/>
            <w:hideMark/>
          </w:tcPr>
          <w:p w14:paraId="113C3987" w14:textId="77777777" w:rsidR="00CF3957" w:rsidRPr="000F5777" w:rsidRDefault="00CF3957" w:rsidP="001E71E3">
            <w:pPr>
              <w:jc w:val="right"/>
              <w:rPr>
                <w:sz w:val="20"/>
                <w:szCs w:val="20"/>
              </w:rPr>
            </w:pPr>
            <w:r w:rsidRPr="000F5777">
              <w:rPr>
                <w:sz w:val="20"/>
                <w:szCs w:val="20"/>
              </w:rPr>
              <w:t>84.098,00</w:t>
            </w:r>
          </w:p>
        </w:tc>
        <w:tc>
          <w:tcPr>
            <w:tcW w:w="1463" w:type="dxa"/>
            <w:tcBorders>
              <w:top w:val="nil"/>
              <w:left w:val="nil"/>
              <w:bottom w:val="single" w:sz="4" w:space="0" w:color="auto"/>
              <w:right w:val="single" w:sz="4" w:space="0" w:color="auto"/>
            </w:tcBorders>
            <w:shd w:val="clear" w:color="auto" w:fill="auto"/>
            <w:vAlign w:val="center"/>
            <w:hideMark/>
          </w:tcPr>
          <w:p w14:paraId="4E77B8A6"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61F39284" w14:textId="77777777" w:rsidR="00CF3957" w:rsidRPr="000F5777" w:rsidRDefault="00CF3957" w:rsidP="001E71E3">
            <w:pPr>
              <w:jc w:val="center"/>
              <w:rPr>
                <w:sz w:val="20"/>
                <w:szCs w:val="20"/>
              </w:rPr>
            </w:pPr>
            <w:r w:rsidRPr="000F5777">
              <w:rPr>
                <w:sz w:val="20"/>
                <w:szCs w:val="20"/>
              </w:rPr>
              <w:t>P013</w:t>
            </w:r>
          </w:p>
        </w:tc>
      </w:tr>
      <w:tr w:rsidR="00CF3957" w:rsidRPr="000F5777" w14:paraId="62418885" w14:textId="77777777" w:rsidTr="001E71E3">
        <w:trPr>
          <w:trHeight w:val="54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7AF2AE60" w14:textId="77777777" w:rsidR="00CF3957" w:rsidRPr="000F5777" w:rsidRDefault="00CF3957" w:rsidP="001E71E3">
            <w:pPr>
              <w:rPr>
                <w:sz w:val="20"/>
                <w:szCs w:val="20"/>
              </w:rPr>
            </w:pPr>
            <w:r w:rsidRPr="000F5777">
              <w:rPr>
                <w:sz w:val="20"/>
                <w:szCs w:val="20"/>
              </w:rPr>
              <w:t>Vrijednosno usklađenje imovine - Dionice i udjeli - Inicijativa tri mora</w:t>
            </w:r>
          </w:p>
        </w:tc>
        <w:tc>
          <w:tcPr>
            <w:tcW w:w="1648" w:type="dxa"/>
            <w:tcBorders>
              <w:top w:val="nil"/>
              <w:left w:val="nil"/>
              <w:bottom w:val="single" w:sz="4" w:space="0" w:color="auto"/>
              <w:right w:val="single" w:sz="4" w:space="0" w:color="auto"/>
            </w:tcBorders>
            <w:shd w:val="clear" w:color="auto" w:fill="auto"/>
            <w:noWrap/>
            <w:vAlign w:val="center"/>
            <w:hideMark/>
          </w:tcPr>
          <w:p w14:paraId="4B188F56" w14:textId="77777777" w:rsidR="00CF3957" w:rsidRPr="000F5777" w:rsidRDefault="00CF3957" w:rsidP="001E71E3">
            <w:pPr>
              <w:jc w:val="right"/>
              <w:rPr>
                <w:sz w:val="20"/>
                <w:szCs w:val="20"/>
              </w:rPr>
            </w:pPr>
            <w:r w:rsidRPr="000F5777">
              <w:rPr>
                <w:sz w:val="20"/>
                <w:szCs w:val="20"/>
              </w:rPr>
              <w:t>-142.999,89</w:t>
            </w:r>
          </w:p>
        </w:tc>
        <w:tc>
          <w:tcPr>
            <w:tcW w:w="1463" w:type="dxa"/>
            <w:tcBorders>
              <w:top w:val="nil"/>
              <w:left w:val="nil"/>
              <w:bottom w:val="single" w:sz="4" w:space="0" w:color="auto"/>
              <w:right w:val="single" w:sz="4" w:space="0" w:color="auto"/>
            </w:tcBorders>
            <w:shd w:val="clear" w:color="auto" w:fill="auto"/>
            <w:vAlign w:val="center"/>
            <w:hideMark/>
          </w:tcPr>
          <w:p w14:paraId="083FB6D4" w14:textId="77777777" w:rsidR="00CF3957" w:rsidRPr="000F5777" w:rsidRDefault="00CF3957" w:rsidP="001E71E3">
            <w:pPr>
              <w:jc w:val="center"/>
              <w:rPr>
                <w:sz w:val="20"/>
                <w:szCs w:val="20"/>
              </w:rPr>
            </w:pPr>
            <w:r w:rsidRPr="000F5777">
              <w:rPr>
                <w:b/>
                <w:bCs/>
                <w:sz w:val="20"/>
                <w:szCs w:val="20"/>
              </w:rPr>
              <w:t>smanjenje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0F559BAA" w14:textId="77777777" w:rsidR="00CF3957" w:rsidRPr="000F5777" w:rsidRDefault="00CF3957" w:rsidP="001E71E3">
            <w:pPr>
              <w:jc w:val="center"/>
              <w:rPr>
                <w:sz w:val="20"/>
                <w:szCs w:val="20"/>
              </w:rPr>
            </w:pPr>
            <w:r w:rsidRPr="000F5777">
              <w:rPr>
                <w:sz w:val="20"/>
                <w:szCs w:val="20"/>
              </w:rPr>
              <w:t>P013</w:t>
            </w:r>
          </w:p>
        </w:tc>
      </w:tr>
      <w:tr w:rsidR="00CF3957" w:rsidRPr="000F5777" w14:paraId="7982E534" w14:textId="77777777" w:rsidTr="001E71E3">
        <w:trPr>
          <w:trHeight w:val="54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071F4643" w14:textId="77777777" w:rsidR="00CF3957" w:rsidRPr="000F5777" w:rsidRDefault="00CF3957" w:rsidP="001E71E3">
            <w:pPr>
              <w:rPr>
                <w:sz w:val="20"/>
                <w:szCs w:val="20"/>
              </w:rPr>
            </w:pPr>
            <w:r w:rsidRPr="000F5777">
              <w:rPr>
                <w:sz w:val="20"/>
                <w:szCs w:val="20"/>
              </w:rPr>
              <w:t>Vrij</w:t>
            </w:r>
            <w:r>
              <w:rPr>
                <w:sz w:val="20"/>
                <w:szCs w:val="20"/>
              </w:rPr>
              <w:t xml:space="preserve">ednosno usklađenje imovine –Tekuće </w:t>
            </w:r>
            <w:r w:rsidRPr="000F5777">
              <w:rPr>
                <w:sz w:val="20"/>
                <w:szCs w:val="20"/>
              </w:rPr>
              <w:t>pomoći od instituc</w:t>
            </w:r>
            <w:r>
              <w:rPr>
                <w:sz w:val="20"/>
                <w:szCs w:val="20"/>
              </w:rPr>
              <w:t xml:space="preserve">ija </w:t>
            </w:r>
            <w:r w:rsidRPr="000F5777">
              <w:rPr>
                <w:sz w:val="20"/>
                <w:szCs w:val="20"/>
              </w:rPr>
              <w:t>i tijela EU - EIB jamstva</w:t>
            </w:r>
          </w:p>
        </w:tc>
        <w:tc>
          <w:tcPr>
            <w:tcW w:w="1648" w:type="dxa"/>
            <w:tcBorders>
              <w:top w:val="nil"/>
              <w:left w:val="nil"/>
              <w:bottom w:val="single" w:sz="4" w:space="0" w:color="auto"/>
              <w:right w:val="single" w:sz="4" w:space="0" w:color="auto"/>
            </w:tcBorders>
            <w:shd w:val="clear" w:color="auto" w:fill="auto"/>
            <w:noWrap/>
            <w:vAlign w:val="center"/>
            <w:hideMark/>
          </w:tcPr>
          <w:p w14:paraId="55D73A0D" w14:textId="77777777" w:rsidR="00CF3957" w:rsidRPr="000F5777" w:rsidRDefault="00CF3957" w:rsidP="001E71E3">
            <w:pPr>
              <w:jc w:val="right"/>
              <w:rPr>
                <w:sz w:val="20"/>
                <w:szCs w:val="20"/>
              </w:rPr>
            </w:pPr>
            <w:r w:rsidRPr="000F5777">
              <w:rPr>
                <w:sz w:val="20"/>
                <w:szCs w:val="20"/>
              </w:rPr>
              <w:t>69,99</w:t>
            </w:r>
          </w:p>
        </w:tc>
        <w:tc>
          <w:tcPr>
            <w:tcW w:w="1463" w:type="dxa"/>
            <w:tcBorders>
              <w:top w:val="nil"/>
              <w:left w:val="nil"/>
              <w:bottom w:val="single" w:sz="4" w:space="0" w:color="auto"/>
              <w:right w:val="single" w:sz="4" w:space="0" w:color="auto"/>
            </w:tcBorders>
            <w:shd w:val="clear" w:color="auto" w:fill="auto"/>
            <w:vAlign w:val="center"/>
            <w:hideMark/>
          </w:tcPr>
          <w:p w14:paraId="3CDAEA07"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3550D833" w14:textId="77777777" w:rsidR="00CF3957" w:rsidRPr="000F5777" w:rsidRDefault="00CF3957" w:rsidP="001E71E3">
            <w:pPr>
              <w:jc w:val="center"/>
              <w:rPr>
                <w:sz w:val="20"/>
                <w:szCs w:val="20"/>
              </w:rPr>
            </w:pPr>
            <w:r w:rsidRPr="000F5777">
              <w:rPr>
                <w:sz w:val="20"/>
                <w:szCs w:val="20"/>
              </w:rPr>
              <w:t>P014</w:t>
            </w:r>
          </w:p>
        </w:tc>
      </w:tr>
      <w:tr w:rsidR="00CF3957" w:rsidRPr="000F5777" w14:paraId="1A3D88A9" w14:textId="77777777" w:rsidTr="001E71E3">
        <w:trPr>
          <w:trHeight w:val="54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2DA00370" w14:textId="77777777" w:rsidR="00CF3957" w:rsidRPr="000F5777" w:rsidRDefault="00CF3957" w:rsidP="001E71E3">
            <w:pPr>
              <w:rPr>
                <w:sz w:val="20"/>
                <w:szCs w:val="20"/>
              </w:rPr>
            </w:pPr>
            <w:r w:rsidRPr="000F5777">
              <w:rPr>
                <w:sz w:val="20"/>
                <w:szCs w:val="20"/>
              </w:rPr>
              <w:t>Vrijednosno usklađenje imovine -Potraživanja za kamate na oročena sredstva i depoz</w:t>
            </w:r>
            <w:r>
              <w:rPr>
                <w:sz w:val="20"/>
                <w:szCs w:val="20"/>
              </w:rPr>
              <w:t>ite</w:t>
            </w:r>
          </w:p>
        </w:tc>
        <w:tc>
          <w:tcPr>
            <w:tcW w:w="1648" w:type="dxa"/>
            <w:tcBorders>
              <w:top w:val="nil"/>
              <w:left w:val="nil"/>
              <w:bottom w:val="single" w:sz="4" w:space="0" w:color="auto"/>
              <w:right w:val="single" w:sz="4" w:space="0" w:color="auto"/>
            </w:tcBorders>
            <w:shd w:val="clear" w:color="auto" w:fill="auto"/>
            <w:noWrap/>
            <w:vAlign w:val="center"/>
            <w:hideMark/>
          </w:tcPr>
          <w:p w14:paraId="6EB0A9CA" w14:textId="77777777" w:rsidR="00CF3957" w:rsidRPr="000F5777" w:rsidRDefault="00CF3957" w:rsidP="001E71E3">
            <w:pPr>
              <w:jc w:val="right"/>
              <w:rPr>
                <w:sz w:val="20"/>
                <w:szCs w:val="20"/>
              </w:rPr>
            </w:pPr>
            <w:r w:rsidRPr="000F5777">
              <w:rPr>
                <w:sz w:val="20"/>
                <w:szCs w:val="20"/>
              </w:rPr>
              <w:t>-2.230,97</w:t>
            </w:r>
          </w:p>
        </w:tc>
        <w:tc>
          <w:tcPr>
            <w:tcW w:w="1463" w:type="dxa"/>
            <w:tcBorders>
              <w:top w:val="nil"/>
              <w:left w:val="nil"/>
              <w:bottom w:val="single" w:sz="4" w:space="0" w:color="auto"/>
              <w:right w:val="single" w:sz="4" w:space="0" w:color="auto"/>
            </w:tcBorders>
            <w:shd w:val="clear" w:color="auto" w:fill="auto"/>
            <w:vAlign w:val="center"/>
            <w:hideMark/>
          </w:tcPr>
          <w:p w14:paraId="0A6E9CE0" w14:textId="77777777" w:rsidR="00CF3957" w:rsidRPr="000F5777" w:rsidRDefault="00CF3957" w:rsidP="001E71E3">
            <w:pPr>
              <w:jc w:val="center"/>
              <w:rPr>
                <w:sz w:val="20"/>
                <w:szCs w:val="20"/>
              </w:rPr>
            </w:pPr>
            <w:r w:rsidRPr="000F5777">
              <w:rPr>
                <w:b/>
                <w:bCs/>
                <w:sz w:val="20"/>
                <w:szCs w:val="20"/>
              </w:rPr>
              <w:t>smanjenje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508505D4" w14:textId="77777777" w:rsidR="00CF3957" w:rsidRPr="000F5777" w:rsidRDefault="00CF3957" w:rsidP="001E71E3">
            <w:pPr>
              <w:jc w:val="center"/>
              <w:rPr>
                <w:sz w:val="20"/>
                <w:szCs w:val="20"/>
              </w:rPr>
            </w:pPr>
            <w:r w:rsidRPr="000F5777">
              <w:rPr>
                <w:sz w:val="20"/>
                <w:szCs w:val="20"/>
              </w:rPr>
              <w:t>P014</w:t>
            </w:r>
          </w:p>
        </w:tc>
      </w:tr>
      <w:tr w:rsidR="00CF3957" w:rsidRPr="000F5777" w14:paraId="0473D8C9" w14:textId="77777777" w:rsidTr="001E71E3">
        <w:trPr>
          <w:trHeight w:val="54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45B06B6C" w14:textId="77777777" w:rsidR="00CF3957" w:rsidRPr="000F5777" w:rsidRDefault="00CF3957" w:rsidP="001E71E3">
            <w:pPr>
              <w:rPr>
                <w:sz w:val="20"/>
                <w:szCs w:val="20"/>
              </w:rPr>
            </w:pPr>
            <w:r w:rsidRPr="000F5777">
              <w:rPr>
                <w:sz w:val="20"/>
                <w:szCs w:val="20"/>
              </w:rPr>
              <w:t>Vrijedno</w:t>
            </w:r>
            <w:r>
              <w:rPr>
                <w:sz w:val="20"/>
                <w:szCs w:val="20"/>
              </w:rPr>
              <w:t>sno usklađenje imovine - Potraživanja za ostale prihode od financijske imovine</w:t>
            </w:r>
            <w:r w:rsidRPr="000F5777">
              <w:rPr>
                <w:sz w:val="20"/>
                <w:szCs w:val="20"/>
              </w:rPr>
              <w:t xml:space="preserve"> - Sudan</w:t>
            </w:r>
          </w:p>
        </w:tc>
        <w:tc>
          <w:tcPr>
            <w:tcW w:w="1648" w:type="dxa"/>
            <w:tcBorders>
              <w:top w:val="nil"/>
              <w:left w:val="nil"/>
              <w:bottom w:val="single" w:sz="4" w:space="0" w:color="auto"/>
              <w:right w:val="single" w:sz="4" w:space="0" w:color="auto"/>
            </w:tcBorders>
            <w:shd w:val="clear" w:color="auto" w:fill="auto"/>
            <w:noWrap/>
            <w:vAlign w:val="center"/>
            <w:hideMark/>
          </w:tcPr>
          <w:p w14:paraId="1C15F8A3" w14:textId="77777777" w:rsidR="00CF3957" w:rsidRPr="000F5777" w:rsidRDefault="00CF3957" w:rsidP="001E71E3">
            <w:pPr>
              <w:jc w:val="right"/>
              <w:rPr>
                <w:sz w:val="20"/>
                <w:szCs w:val="20"/>
              </w:rPr>
            </w:pPr>
            <w:r w:rsidRPr="000F5777">
              <w:rPr>
                <w:sz w:val="20"/>
                <w:szCs w:val="20"/>
              </w:rPr>
              <w:t>12.911.986,43</w:t>
            </w:r>
          </w:p>
        </w:tc>
        <w:tc>
          <w:tcPr>
            <w:tcW w:w="1463" w:type="dxa"/>
            <w:tcBorders>
              <w:top w:val="nil"/>
              <w:left w:val="nil"/>
              <w:bottom w:val="single" w:sz="4" w:space="0" w:color="auto"/>
              <w:right w:val="single" w:sz="4" w:space="0" w:color="auto"/>
            </w:tcBorders>
            <w:shd w:val="clear" w:color="auto" w:fill="auto"/>
            <w:vAlign w:val="center"/>
            <w:hideMark/>
          </w:tcPr>
          <w:p w14:paraId="11F035FF"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475434A1" w14:textId="77777777" w:rsidR="00CF3957" w:rsidRPr="000F5777" w:rsidRDefault="00CF3957" w:rsidP="001E71E3">
            <w:pPr>
              <w:jc w:val="center"/>
              <w:rPr>
                <w:sz w:val="20"/>
                <w:szCs w:val="20"/>
              </w:rPr>
            </w:pPr>
            <w:r w:rsidRPr="000F5777">
              <w:rPr>
                <w:sz w:val="20"/>
                <w:szCs w:val="20"/>
              </w:rPr>
              <w:t>P014</w:t>
            </w:r>
          </w:p>
        </w:tc>
      </w:tr>
      <w:tr w:rsidR="00CF3957" w:rsidRPr="000F5777" w14:paraId="05B58B97" w14:textId="77777777" w:rsidTr="001E71E3">
        <w:trPr>
          <w:trHeight w:val="54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6B5057C1" w14:textId="77777777" w:rsidR="00CF3957" w:rsidRPr="000F5777" w:rsidRDefault="00CF3957" w:rsidP="001E71E3">
            <w:pPr>
              <w:rPr>
                <w:sz w:val="20"/>
                <w:szCs w:val="20"/>
              </w:rPr>
            </w:pPr>
            <w:r w:rsidRPr="000F5777">
              <w:rPr>
                <w:sz w:val="20"/>
                <w:szCs w:val="20"/>
              </w:rPr>
              <w:t xml:space="preserve">Vrijednosno usklađenje imovine </w:t>
            </w:r>
            <w:r>
              <w:rPr>
                <w:sz w:val="20"/>
                <w:szCs w:val="20"/>
              </w:rPr>
              <w:t>–</w:t>
            </w:r>
            <w:r w:rsidRPr="000F5777">
              <w:rPr>
                <w:sz w:val="20"/>
                <w:szCs w:val="20"/>
              </w:rPr>
              <w:t xml:space="preserve"> Potraživ</w:t>
            </w:r>
            <w:r>
              <w:rPr>
                <w:sz w:val="20"/>
                <w:szCs w:val="20"/>
              </w:rPr>
              <w:t xml:space="preserve">anja od </w:t>
            </w:r>
            <w:proofErr w:type="spellStart"/>
            <w:r>
              <w:rPr>
                <w:sz w:val="20"/>
                <w:szCs w:val="20"/>
              </w:rPr>
              <w:t>kta</w:t>
            </w:r>
            <w:proofErr w:type="spellEnd"/>
            <w:r>
              <w:rPr>
                <w:sz w:val="20"/>
                <w:szCs w:val="20"/>
              </w:rPr>
              <w:t xml:space="preserve"> na dane zajmove trgovačkim društvima </w:t>
            </w:r>
            <w:r w:rsidRPr="000F5777">
              <w:rPr>
                <w:sz w:val="20"/>
                <w:szCs w:val="20"/>
              </w:rPr>
              <w:t>u JS</w:t>
            </w:r>
          </w:p>
        </w:tc>
        <w:tc>
          <w:tcPr>
            <w:tcW w:w="1648" w:type="dxa"/>
            <w:tcBorders>
              <w:top w:val="nil"/>
              <w:left w:val="nil"/>
              <w:bottom w:val="single" w:sz="4" w:space="0" w:color="auto"/>
              <w:right w:val="single" w:sz="4" w:space="0" w:color="auto"/>
            </w:tcBorders>
            <w:shd w:val="clear" w:color="auto" w:fill="auto"/>
            <w:noWrap/>
            <w:vAlign w:val="center"/>
            <w:hideMark/>
          </w:tcPr>
          <w:p w14:paraId="044384EC" w14:textId="77777777" w:rsidR="00CF3957" w:rsidRPr="000F5777" w:rsidRDefault="00CF3957" w:rsidP="001E71E3">
            <w:pPr>
              <w:jc w:val="right"/>
              <w:rPr>
                <w:sz w:val="20"/>
                <w:szCs w:val="20"/>
              </w:rPr>
            </w:pPr>
            <w:r w:rsidRPr="000F5777">
              <w:rPr>
                <w:sz w:val="20"/>
                <w:szCs w:val="20"/>
              </w:rPr>
              <w:t>24.546,99</w:t>
            </w:r>
          </w:p>
        </w:tc>
        <w:tc>
          <w:tcPr>
            <w:tcW w:w="1463" w:type="dxa"/>
            <w:tcBorders>
              <w:top w:val="nil"/>
              <w:left w:val="nil"/>
              <w:bottom w:val="single" w:sz="4" w:space="0" w:color="auto"/>
              <w:right w:val="single" w:sz="4" w:space="0" w:color="auto"/>
            </w:tcBorders>
            <w:shd w:val="clear" w:color="auto" w:fill="auto"/>
            <w:vAlign w:val="center"/>
            <w:hideMark/>
          </w:tcPr>
          <w:p w14:paraId="2D4F0450"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4B653BD7" w14:textId="77777777" w:rsidR="00CF3957" w:rsidRPr="000F5777" w:rsidRDefault="00CF3957" w:rsidP="001E71E3">
            <w:pPr>
              <w:jc w:val="center"/>
              <w:rPr>
                <w:sz w:val="20"/>
                <w:szCs w:val="20"/>
              </w:rPr>
            </w:pPr>
            <w:r w:rsidRPr="000F5777">
              <w:rPr>
                <w:sz w:val="20"/>
                <w:szCs w:val="20"/>
              </w:rPr>
              <w:t>P014</w:t>
            </w:r>
          </w:p>
        </w:tc>
      </w:tr>
      <w:tr w:rsidR="00CF3957" w:rsidRPr="000F5777" w14:paraId="3050E980" w14:textId="77777777" w:rsidTr="002A7CFB">
        <w:trPr>
          <w:trHeight w:val="545"/>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20B8C339" w14:textId="77777777" w:rsidR="00CF3957" w:rsidRPr="000F5777" w:rsidRDefault="00CF3957" w:rsidP="001E71E3">
            <w:pPr>
              <w:rPr>
                <w:sz w:val="20"/>
                <w:szCs w:val="20"/>
              </w:rPr>
            </w:pPr>
            <w:r w:rsidRPr="000F5777">
              <w:rPr>
                <w:sz w:val="20"/>
                <w:szCs w:val="20"/>
              </w:rPr>
              <w:t>Vrijednosno usklađenje imovine - Potraži. za kam</w:t>
            </w:r>
            <w:r>
              <w:rPr>
                <w:sz w:val="20"/>
                <w:szCs w:val="20"/>
              </w:rPr>
              <w:t>ate na dane zajmove drugim razinama</w:t>
            </w:r>
            <w:r w:rsidRPr="000F5777">
              <w:rPr>
                <w:sz w:val="20"/>
                <w:szCs w:val="20"/>
              </w:rPr>
              <w:t xml:space="preserve"> vlasti</w:t>
            </w:r>
          </w:p>
        </w:tc>
        <w:tc>
          <w:tcPr>
            <w:tcW w:w="1648" w:type="dxa"/>
            <w:tcBorders>
              <w:top w:val="nil"/>
              <w:left w:val="nil"/>
              <w:bottom w:val="single" w:sz="4" w:space="0" w:color="auto"/>
              <w:right w:val="single" w:sz="4" w:space="0" w:color="auto"/>
            </w:tcBorders>
            <w:shd w:val="clear" w:color="auto" w:fill="auto"/>
            <w:noWrap/>
            <w:vAlign w:val="center"/>
            <w:hideMark/>
          </w:tcPr>
          <w:p w14:paraId="6B26315A" w14:textId="77777777" w:rsidR="00CF3957" w:rsidRPr="000F5777" w:rsidRDefault="00CF3957" w:rsidP="001E71E3">
            <w:pPr>
              <w:jc w:val="right"/>
              <w:rPr>
                <w:sz w:val="20"/>
                <w:szCs w:val="20"/>
              </w:rPr>
            </w:pPr>
            <w:r w:rsidRPr="000F5777">
              <w:rPr>
                <w:sz w:val="20"/>
                <w:szCs w:val="20"/>
              </w:rPr>
              <w:t>542.823,62</w:t>
            </w:r>
          </w:p>
        </w:tc>
        <w:tc>
          <w:tcPr>
            <w:tcW w:w="1463" w:type="dxa"/>
            <w:tcBorders>
              <w:top w:val="nil"/>
              <w:left w:val="nil"/>
              <w:bottom w:val="single" w:sz="4" w:space="0" w:color="auto"/>
              <w:right w:val="single" w:sz="4" w:space="0" w:color="auto"/>
            </w:tcBorders>
            <w:shd w:val="clear" w:color="auto" w:fill="auto"/>
            <w:vAlign w:val="center"/>
            <w:hideMark/>
          </w:tcPr>
          <w:p w14:paraId="33404D1F" w14:textId="77777777" w:rsidR="00CF3957" w:rsidRPr="000F5777" w:rsidRDefault="00CF3957" w:rsidP="001E71E3">
            <w:pPr>
              <w:jc w:val="center"/>
              <w:rPr>
                <w:sz w:val="20"/>
                <w:szCs w:val="20"/>
              </w:rPr>
            </w:pPr>
            <w:r w:rsidRPr="000F5777">
              <w:rPr>
                <w:b/>
                <w:bCs/>
                <w:sz w:val="20"/>
                <w:szCs w:val="20"/>
              </w:rPr>
              <w:t>povećanje</w:t>
            </w:r>
            <w:r w:rsidRPr="000F5777">
              <w:rPr>
                <w:sz w:val="20"/>
                <w:szCs w:val="20"/>
              </w:rPr>
              <w:t xml:space="preserve"> vrijednosti imovine</w:t>
            </w:r>
          </w:p>
        </w:tc>
        <w:tc>
          <w:tcPr>
            <w:tcW w:w="1261" w:type="dxa"/>
            <w:tcBorders>
              <w:top w:val="nil"/>
              <w:left w:val="nil"/>
              <w:bottom w:val="single" w:sz="4" w:space="0" w:color="auto"/>
              <w:right w:val="single" w:sz="8" w:space="0" w:color="auto"/>
            </w:tcBorders>
            <w:shd w:val="clear" w:color="auto" w:fill="auto"/>
            <w:vAlign w:val="center"/>
            <w:hideMark/>
          </w:tcPr>
          <w:p w14:paraId="44DB68D1" w14:textId="77777777" w:rsidR="00CF3957" w:rsidRPr="000F5777" w:rsidRDefault="00CF3957" w:rsidP="001E71E3">
            <w:pPr>
              <w:jc w:val="center"/>
              <w:rPr>
                <w:sz w:val="20"/>
                <w:szCs w:val="20"/>
              </w:rPr>
            </w:pPr>
            <w:r w:rsidRPr="000F5777">
              <w:rPr>
                <w:sz w:val="20"/>
                <w:szCs w:val="20"/>
              </w:rPr>
              <w:t>P014</w:t>
            </w:r>
          </w:p>
        </w:tc>
      </w:tr>
      <w:tr w:rsidR="00CF3957" w:rsidRPr="000F5777" w14:paraId="3FCFC347" w14:textId="77777777" w:rsidTr="002A7CFB">
        <w:trPr>
          <w:trHeight w:val="545"/>
        </w:trPr>
        <w:tc>
          <w:tcPr>
            <w:tcW w:w="46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1AA998" w14:textId="77777777" w:rsidR="00CF3957" w:rsidRPr="000F5777" w:rsidRDefault="00CF3957" w:rsidP="001E71E3">
            <w:pPr>
              <w:rPr>
                <w:sz w:val="20"/>
                <w:szCs w:val="20"/>
              </w:rPr>
            </w:pPr>
            <w:r w:rsidRPr="000F5777">
              <w:rPr>
                <w:sz w:val="20"/>
                <w:szCs w:val="20"/>
              </w:rPr>
              <w:t>Vrijednosno usklađenje imovine - Potraž.za naknade za izdana jamstva</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38E8FABF" w14:textId="77777777" w:rsidR="00CF3957" w:rsidRPr="000F5777" w:rsidRDefault="00CF3957" w:rsidP="001E71E3">
            <w:pPr>
              <w:jc w:val="right"/>
              <w:rPr>
                <w:sz w:val="20"/>
                <w:szCs w:val="20"/>
              </w:rPr>
            </w:pPr>
            <w:r w:rsidRPr="000F5777">
              <w:rPr>
                <w:sz w:val="20"/>
                <w:szCs w:val="20"/>
              </w:rPr>
              <w:t>-2.564,00</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5CE832A6" w14:textId="77777777" w:rsidR="00CF3957" w:rsidRPr="000F5777" w:rsidRDefault="00CF3957" w:rsidP="001E71E3">
            <w:pPr>
              <w:jc w:val="center"/>
              <w:rPr>
                <w:sz w:val="20"/>
                <w:szCs w:val="20"/>
              </w:rPr>
            </w:pPr>
            <w:r w:rsidRPr="000F5777">
              <w:rPr>
                <w:b/>
                <w:bCs/>
                <w:sz w:val="20"/>
                <w:szCs w:val="20"/>
              </w:rPr>
              <w:t>smanjenje</w:t>
            </w:r>
            <w:r w:rsidRPr="000F5777">
              <w:rPr>
                <w:sz w:val="20"/>
                <w:szCs w:val="20"/>
              </w:rPr>
              <w:t xml:space="preserve"> vrijednosti imovine</w:t>
            </w:r>
          </w:p>
        </w:tc>
        <w:tc>
          <w:tcPr>
            <w:tcW w:w="1261" w:type="dxa"/>
            <w:tcBorders>
              <w:top w:val="single" w:sz="4" w:space="0" w:color="auto"/>
              <w:left w:val="nil"/>
              <w:bottom w:val="single" w:sz="4" w:space="0" w:color="auto"/>
              <w:right w:val="single" w:sz="8" w:space="0" w:color="auto"/>
            </w:tcBorders>
            <w:shd w:val="clear" w:color="auto" w:fill="auto"/>
            <w:vAlign w:val="center"/>
            <w:hideMark/>
          </w:tcPr>
          <w:p w14:paraId="52EBEC29" w14:textId="77777777" w:rsidR="00CF3957" w:rsidRPr="000F5777" w:rsidRDefault="00CF3957" w:rsidP="001E71E3">
            <w:pPr>
              <w:jc w:val="center"/>
              <w:rPr>
                <w:sz w:val="20"/>
                <w:szCs w:val="20"/>
              </w:rPr>
            </w:pPr>
            <w:r w:rsidRPr="000F5777">
              <w:rPr>
                <w:sz w:val="20"/>
                <w:szCs w:val="20"/>
              </w:rPr>
              <w:t>P014</w:t>
            </w:r>
          </w:p>
        </w:tc>
      </w:tr>
      <w:tr w:rsidR="002A7CFB" w:rsidRPr="000F5777" w14:paraId="5B271CB3" w14:textId="77777777" w:rsidTr="002A7CFB">
        <w:trPr>
          <w:trHeight w:val="545"/>
        </w:trPr>
        <w:tc>
          <w:tcPr>
            <w:tcW w:w="4610" w:type="dxa"/>
            <w:tcBorders>
              <w:top w:val="single" w:sz="4" w:space="0" w:color="auto"/>
              <w:left w:val="single" w:sz="8" w:space="0" w:color="auto"/>
              <w:bottom w:val="single" w:sz="8" w:space="0" w:color="auto"/>
              <w:right w:val="single" w:sz="4" w:space="0" w:color="auto"/>
            </w:tcBorders>
            <w:shd w:val="clear" w:color="auto" w:fill="auto"/>
            <w:vAlign w:val="center"/>
          </w:tcPr>
          <w:p w14:paraId="4ED23EB5" w14:textId="6EC8D05C" w:rsidR="002A7CFB" w:rsidRPr="000F5777" w:rsidRDefault="009B6AE3" w:rsidP="002A7CFB">
            <w:pPr>
              <w:rPr>
                <w:sz w:val="20"/>
                <w:szCs w:val="20"/>
              </w:rPr>
            </w:pPr>
            <w:r w:rsidRPr="009B6AE3">
              <w:rPr>
                <w:sz w:val="20"/>
                <w:szCs w:val="20"/>
              </w:rPr>
              <w:t xml:space="preserve">Vrijednosno usklađenje imovine - </w:t>
            </w:r>
            <w:proofErr w:type="spellStart"/>
            <w:r w:rsidRPr="009B6AE3">
              <w:rPr>
                <w:sz w:val="20"/>
                <w:szCs w:val="20"/>
              </w:rPr>
              <w:t>Potraž</w:t>
            </w:r>
            <w:proofErr w:type="spellEnd"/>
            <w:r w:rsidRPr="009B6AE3">
              <w:rPr>
                <w:sz w:val="20"/>
                <w:szCs w:val="20"/>
              </w:rPr>
              <w:t>. za prihode poslovanja (kamate na dane zajmove Munja d.o.o., FRZ)</w:t>
            </w:r>
          </w:p>
        </w:tc>
        <w:tc>
          <w:tcPr>
            <w:tcW w:w="1648" w:type="dxa"/>
            <w:tcBorders>
              <w:top w:val="single" w:sz="4" w:space="0" w:color="auto"/>
              <w:left w:val="nil"/>
              <w:bottom w:val="single" w:sz="8" w:space="0" w:color="auto"/>
              <w:right w:val="single" w:sz="4" w:space="0" w:color="auto"/>
            </w:tcBorders>
            <w:shd w:val="clear" w:color="auto" w:fill="auto"/>
            <w:noWrap/>
            <w:vAlign w:val="center"/>
          </w:tcPr>
          <w:p w14:paraId="72BC86B5" w14:textId="663A9AB5" w:rsidR="002A7CFB" w:rsidRPr="000F5777" w:rsidRDefault="002A7CFB" w:rsidP="001E71E3">
            <w:pPr>
              <w:jc w:val="right"/>
              <w:rPr>
                <w:sz w:val="20"/>
                <w:szCs w:val="20"/>
              </w:rPr>
            </w:pPr>
            <w:r w:rsidRPr="002A7CFB">
              <w:rPr>
                <w:sz w:val="20"/>
                <w:szCs w:val="20"/>
              </w:rPr>
              <w:t>-2.578.168,77</w:t>
            </w:r>
          </w:p>
        </w:tc>
        <w:tc>
          <w:tcPr>
            <w:tcW w:w="1463" w:type="dxa"/>
            <w:tcBorders>
              <w:top w:val="single" w:sz="4" w:space="0" w:color="auto"/>
              <w:left w:val="nil"/>
              <w:bottom w:val="single" w:sz="8" w:space="0" w:color="auto"/>
              <w:right w:val="single" w:sz="4" w:space="0" w:color="auto"/>
            </w:tcBorders>
            <w:shd w:val="clear" w:color="auto" w:fill="auto"/>
            <w:vAlign w:val="center"/>
          </w:tcPr>
          <w:p w14:paraId="4588CF9B" w14:textId="69C0CEC2" w:rsidR="002A7CFB" w:rsidRPr="000F5777" w:rsidRDefault="002A7CFB" w:rsidP="001E71E3">
            <w:pPr>
              <w:jc w:val="center"/>
              <w:rPr>
                <w:b/>
                <w:bCs/>
                <w:sz w:val="20"/>
                <w:szCs w:val="20"/>
              </w:rPr>
            </w:pPr>
            <w:r w:rsidRPr="002A7CFB">
              <w:rPr>
                <w:b/>
                <w:bCs/>
                <w:sz w:val="20"/>
                <w:szCs w:val="20"/>
              </w:rPr>
              <w:t xml:space="preserve">smanjenje </w:t>
            </w:r>
            <w:r w:rsidRPr="002A7CFB">
              <w:rPr>
                <w:bCs/>
                <w:sz w:val="20"/>
                <w:szCs w:val="20"/>
              </w:rPr>
              <w:t>vrijednosti imovine</w:t>
            </w:r>
          </w:p>
        </w:tc>
        <w:tc>
          <w:tcPr>
            <w:tcW w:w="1261" w:type="dxa"/>
            <w:tcBorders>
              <w:top w:val="single" w:sz="4" w:space="0" w:color="auto"/>
              <w:left w:val="nil"/>
              <w:bottom w:val="single" w:sz="8" w:space="0" w:color="auto"/>
              <w:right w:val="single" w:sz="8" w:space="0" w:color="auto"/>
            </w:tcBorders>
            <w:shd w:val="clear" w:color="auto" w:fill="auto"/>
            <w:vAlign w:val="center"/>
          </w:tcPr>
          <w:p w14:paraId="2C913EE8" w14:textId="2F329F9E" w:rsidR="002A7CFB" w:rsidRPr="000F5777" w:rsidRDefault="002A7CFB" w:rsidP="001E71E3">
            <w:pPr>
              <w:jc w:val="center"/>
              <w:rPr>
                <w:sz w:val="20"/>
                <w:szCs w:val="20"/>
              </w:rPr>
            </w:pPr>
            <w:r w:rsidRPr="002A7CFB">
              <w:rPr>
                <w:sz w:val="20"/>
                <w:szCs w:val="20"/>
              </w:rPr>
              <w:t>P014</w:t>
            </w:r>
          </w:p>
        </w:tc>
      </w:tr>
    </w:tbl>
    <w:p w14:paraId="2083413A" w14:textId="77777777" w:rsidR="00CF3957" w:rsidRDefault="00CF3957" w:rsidP="00CF3957"/>
    <w:p w14:paraId="666A1E04" w14:textId="77777777" w:rsidR="00CF3957" w:rsidRDefault="00CF3957" w:rsidP="00CF3957"/>
    <w:p w14:paraId="162D4E40" w14:textId="6F9767EE" w:rsidR="00CF3957" w:rsidRDefault="00CF3957" w:rsidP="00CF3957">
      <w:r w:rsidRPr="000F5777">
        <w:t>Promjene u vrijednosti (revalorizacija) obveza</w:t>
      </w:r>
    </w:p>
    <w:tbl>
      <w:tblPr>
        <w:tblW w:w="8915" w:type="dxa"/>
        <w:tblLook w:val="04A0" w:firstRow="1" w:lastRow="0" w:firstColumn="1" w:lastColumn="0" w:noHBand="0" w:noVBand="1"/>
      </w:tblPr>
      <w:tblGrid>
        <w:gridCol w:w="4610"/>
        <w:gridCol w:w="1564"/>
        <w:gridCol w:w="1463"/>
        <w:gridCol w:w="1278"/>
      </w:tblGrid>
      <w:tr w:rsidR="00CF3957" w:rsidRPr="00930A68" w14:paraId="146130AC" w14:textId="77777777" w:rsidTr="001E71E3">
        <w:trPr>
          <w:trHeight w:val="867"/>
        </w:trPr>
        <w:tc>
          <w:tcPr>
            <w:tcW w:w="46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1FB062" w14:textId="77777777" w:rsidR="00CF3957" w:rsidRPr="00930A68" w:rsidRDefault="00CF3957" w:rsidP="001E71E3">
            <w:pPr>
              <w:jc w:val="center"/>
              <w:rPr>
                <w:b/>
                <w:bCs/>
                <w:sz w:val="20"/>
                <w:szCs w:val="20"/>
              </w:rPr>
            </w:pPr>
            <w:r w:rsidRPr="00930A68">
              <w:rPr>
                <w:b/>
                <w:bCs/>
                <w:sz w:val="20"/>
                <w:szCs w:val="20"/>
              </w:rPr>
              <w:t>Opis knjiženja</w:t>
            </w:r>
          </w:p>
        </w:tc>
        <w:tc>
          <w:tcPr>
            <w:tcW w:w="1564" w:type="dxa"/>
            <w:tcBorders>
              <w:top w:val="single" w:sz="8" w:space="0" w:color="auto"/>
              <w:left w:val="nil"/>
              <w:bottom w:val="single" w:sz="4" w:space="0" w:color="auto"/>
              <w:right w:val="single" w:sz="4" w:space="0" w:color="auto"/>
            </w:tcBorders>
            <w:shd w:val="clear" w:color="auto" w:fill="auto"/>
            <w:noWrap/>
            <w:vAlign w:val="center"/>
            <w:hideMark/>
          </w:tcPr>
          <w:p w14:paraId="51BE9636" w14:textId="77777777" w:rsidR="00CF3957" w:rsidRPr="00930A68" w:rsidRDefault="00CF3957" w:rsidP="001E71E3">
            <w:pPr>
              <w:jc w:val="center"/>
              <w:rPr>
                <w:b/>
                <w:bCs/>
                <w:sz w:val="20"/>
                <w:szCs w:val="20"/>
              </w:rPr>
            </w:pPr>
            <w:r w:rsidRPr="00930A68">
              <w:rPr>
                <w:b/>
                <w:bCs/>
                <w:sz w:val="20"/>
                <w:szCs w:val="20"/>
              </w:rPr>
              <w:t>Iznos</w:t>
            </w:r>
          </w:p>
        </w:tc>
        <w:tc>
          <w:tcPr>
            <w:tcW w:w="1463" w:type="dxa"/>
            <w:tcBorders>
              <w:top w:val="single" w:sz="8" w:space="0" w:color="auto"/>
              <w:left w:val="nil"/>
              <w:bottom w:val="single" w:sz="4" w:space="0" w:color="auto"/>
              <w:right w:val="single" w:sz="4" w:space="0" w:color="auto"/>
            </w:tcBorders>
            <w:shd w:val="clear" w:color="auto" w:fill="auto"/>
            <w:vAlign w:val="center"/>
            <w:hideMark/>
          </w:tcPr>
          <w:p w14:paraId="17958410" w14:textId="77777777" w:rsidR="00CF3957" w:rsidRPr="00930A68" w:rsidRDefault="00CF3957" w:rsidP="001E71E3">
            <w:pPr>
              <w:jc w:val="center"/>
              <w:rPr>
                <w:b/>
                <w:bCs/>
                <w:sz w:val="20"/>
                <w:szCs w:val="20"/>
              </w:rPr>
            </w:pPr>
            <w:r w:rsidRPr="00930A68">
              <w:rPr>
                <w:b/>
                <w:bCs/>
                <w:sz w:val="20"/>
                <w:szCs w:val="20"/>
              </w:rPr>
              <w:t>smanj</w:t>
            </w:r>
            <w:r>
              <w:rPr>
                <w:b/>
                <w:bCs/>
                <w:sz w:val="20"/>
                <w:szCs w:val="20"/>
              </w:rPr>
              <w:t>e</w:t>
            </w:r>
            <w:r w:rsidRPr="00930A68">
              <w:rPr>
                <w:b/>
                <w:bCs/>
                <w:sz w:val="20"/>
                <w:szCs w:val="20"/>
              </w:rPr>
              <w:t>nje/ povećanje</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14:paraId="5DF8299C" w14:textId="77777777" w:rsidR="00CF3957" w:rsidRPr="00930A68" w:rsidRDefault="00CF3957" w:rsidP="001E71E3">
            <w:pPr>
              <w:jc w:val="center"/>
              <w:rPr>
                <w:b/>
                <w:bCs/>
                <w:sz w:val="20"/>
                <w:szCs w:val="20"/>
              </w:rPr>
            </w:pPr>
            <w:r>
              <w:rPr>
                <w:b/>
                <w:bCs/>
                <w:sz w:val="20"/>
                <w:szCs w:val="20"/>
              </w:rPr>
              <w:t>Šifra</w:t>
            </w:r>
          </w:p>
        </w:tc>
      </w:tr>
      <w:tr w:rsidR="00CF3957" w:rsidRPr="00930A68" w14:paraId="5C7B02A3"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6F94F8A5" w14:textId="77777777" w:rsidR="00CF3957" w:rsidRPr="00930A68" w:rsidRDefault="00CF3957" w:rsidP="001E71E3">
            <w:pPr>
              <w:rPr>
                <w:sz w:val="20"/>
                <w:szCs w:val="20"/>
              </w:rPr>
            </w:pPr>
            <w:r w:rsidRPr="00930A68">
              <w:rPr>
                <w:sz w:val="20"/>
                <w:szCs w:val="20"/>
              </w:rPr>
              <w:t>Vrijednosno usklađenje obveza - Obveze za trezorske zapise</w:t>
            </w:r>
          </w:p>
        </w:tc>
        <w:tc>
          <w:tcPr>
            <w:tcW w:w="1564" w:type="dxa"/>
            <w:tcBorders>
              <w:top w:val="nil"/>
              <w:left w:val="nil"/>
              <w:bottom w:val="single" w:sz="4" w:space="0" w:color="auto"/>
              <w:right w:val="single" w:sz="4" w:space="0" w:color="auto"/>
            </w:tcBorders>
            <w:shd w:val="clear" w:color="auto" w:fill="auto"/>
            <w:noWrap/>
            <w:vAlign w:val="center"/>
            <w:hideMark/>
          </w:tcPr>
          <w:p w14:paraId="4113BAB1" w14:textId="77777777" w:rsidR="00CF3957" w:rsidRPr="00930A68" w:rsidRDefault="00CF3957" w:rsidP="001E71E3">
            <w:pPr>
              <w:jc w:val="center"/>
              <w:rPr>
                <w:sz w:val="20"/>
                <w:szCs w:val="20"/>
              </w:rPr>
            </w:pPr>
            <w:r w:rsidRPr="00930A68">
              <w:rPr>
                <w:sz w:val="20"/>
                <w:szCs w:val="20"/>
              </w:rPr>
              <w:t>-25.484.016,34</w:t>
            </w:r>
          </w:p>
        </w:tc>
        <w:tc>
          <w:tcPr>
            <w:tcW w:w="1463" w:type="dxa"/>
            <w:tcBorders>
              <w:top w:val="nil"/>
              <w:left w:val="nil"/>
              <w:bottom w:val="single" w:sz="4" w:space="0" w:color="auto"/>
              <w:right w:val="single" w:sz="4" w:space="0" w:color="auto"/>
            </w:tcBorders>
            <w:shd w:val="clear" w:color="auto" w:fill="auto"/>
            <w:vAlign w:val="center"/>
            <w:hideMark/>
          </w:tcPr>
          <w:p w14:paraId="2CEDEFBE"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3F1324E4" w14:textId="77777777" w:rsidR="00CF3957" w:rsidRPr="00930A68" w:rsidRDefault="00CF3957" w:rsidP="001E71E3">
            <w:pPr>
              <w:jc w:val="center"/>
              <w:rPr>
                <w:sz w:val="20"/>
                <w:szCs w:val="20"/>
              </w:rPr>
            </w:pPr>
            <w:r w:rsidRPr="00930A68">
              <w:rPr>
                <w:sz w:val="20"/>
                <w:szCs w:val="20"/>
              </w:rPr>
              <w:t>P033</w:t>
            </w:r>
          </w:p>
        </w:tc>
      </w:tr>
      <w:tr w:rsidR="00CF3957" w:rsidRPr="00930A68" w14:paraId="5981D294" w14:textId="77777777" w:rsidTr="001E71E3">
        <w:trPr>
          <w:trHeight w:val="72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76210FD0" w14:textId="77777777" w:rsidR="00CF3957" w:rsidRPr="00930A68" w:rsidRDefault="00CF3957" w:rsidP="001E71E3">
            <w:pPr>
              <w:rPr>
                <w:sz w:val="20"/>
                <w:szCs w:val="20"/>
              </w:rPr>
            </w:pPr>
            <w:r w:rsidRPr="00930A68">
              <w:rPr>
                <w:sz w:val="20"/>
                <w:szCs w:val="20"/>
              </w:rPr>
              <w:lastRenderedPageBreak/>
              <w:t>Vrijednosno usklađenje obveza - Obveze za mjenice - članski kapital MIGA</w:t>
            </w:r>
          </w:p>
        </w:tc>
        <w:tc>
          <w:tcPr>
            <w:tcW w:w="1564" w:type="dxa"/>
            <w:tcBorders>
              <w:top w:val="nil"/>
              <w:left w:val="nil"/>
              <w:bottom w:val="single" w:sz="4" w:space="0" w:color="auto"/>
              <w:right w:val="single" w:sz="4" w:space="0" w:color="auto"/>
            </w:tcBorders>
            <w:shd w:val="clear" w:color="auto" w:fill="auto"/>
            <w:noWrap/>
            <w:vAlign w:val="center"/>
            <w:hideMark/>
          </w:tcPr>
          <w:p w14:paraId="6D688E47" w14:textId="77777777" w:rsidR="00CF3957" w:rsidRPr="00930A68" w:rsidRDefault="00CF3957" w:rsidP="002A7CFB">
            <w:pPr>
              <w:jc w:val="right"/>
              <w:rPr>
                <w:sz w:val="20"/>
                <w:szCs w:val="20"/>
              </w:rPr>
            </w:pPr>
            <w:r w:rsidRPr="00930A68">
              <w:rPr>
                <w:sz w:val="20"/>
                <w:szCs w:val="20"/>
              </w:rPr>
              <w:t>-85.079,42</w:t>
            </w:r>
          </w:p>
        </w:tc>
        <w:tc>
          <w:tcPr>
            <w:tcW w:w="1463" w:type="dxa"/>
            <w:tcBorders>
              <w:top w:val="nil"/>
              <w:left w:val="nil"/>
              <w:bottom w:val="single" w:sz="4" w:space="0" w:color="auto"/>
              <w:right w:val="single" w:sz="4" w:space="0" w:color="auto"/>
            </w:tcBorders>
            <w:shd w:val="clear" w:color="auto" w:fill="auto"/>
            <w:vAlign w:val="center"/>
            <w:hideMark/>
          </w:tcPr>
          <w:p w14:paraId="5F273366"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7DEBC8C3" w14:textId="77777777" w:rsidR="00CF3957" w:rsidRPr="00930A68" w:rsidRDefault="00CF3957" w:rsidP="001E71E3">
            <w:pPr>
              <w:jc w:val="center"/>
              <w:rPr>
                <w:sz w:val="20"/>
                <w:szCs w:val="20"/>
              </w:rPr>
            </w:pPr>
            <w:r w:rsidRPr="00930A68">
              <w:rPr>
                <w:sz w:val="20"/>
                <w:szCs w:val="20"/>
              </w:rPr>
              <w:t>P033</w:t>
            </w:r>
          </w:p>
        </w:tc>
      </w:tr>
      <w:tr w:rsidR="00CF3957" w:rsidRPr="00930A68" w14:paraId="54837DEE"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64786DC7" w14:textId="77777777" w:rsidR="00CF3957" w:rsidRPr="00930A68" w:rsidRDefault="00CF3957" w:rsidP="001E71E3">
            <w:pPr>
              <w:rPr>
                <w:sz w:val="20"/>
                <w:szCs w:val="20"/>
              </w:rPr>
            </w:pPr>
            <w:r w:rsidRPr="00930A68">
              <w:rPr>
                <w:sz w:val="20"/>
                <w:szCs w:val="20"/>
              </w:rPr>
              <w:t>Vrijednosno usklađenje obveza - Obveze za obveznice - tuzemne</w:t>
            </w:r>
          </w:p>
        </w:tc>
        <w:tc>
          <w:tcPr>
            <w:tcW w:w="1564" w:type="dxa"/>
            <w:tcBorders>
              <w:top w:val="nil"/>
              <w:left w:val="nil"/>
              <w:bottom w:val="single" w:sz="4" w:space="0" w:color="auto"/>
              <w:right w:val="single" w:sz="4" w:space="0" w:color="auto"/>
            </w:tcBorders>
            <w:shd w:val="clear" w:color="auto" w:fill="auto"/>
            <w:noWrap/>
            <w:vAlign w:val="center"/>
            <w:hideMark/>
          </w:tcPr>
          <w:p w14:paraId="7B18485A" w14:textId="77777777" w:rsidR="00CF3957" w:rsidRPr="00930A68" w:rsidRDefault="00CF3957" w:rsidP="001E71E3">
            <w:pPr>
              <w:jc w:val="right"/>
              <w:rPr>
                <w:sz w:val="20"/>
                <w:szCs w:val="20"/>
              </w:rPr>
            </w:pPr>
            <w:r w:rsidRPr="00930A68">
              <w:rPr>
                <w:sz w:val="20"/>
                <w:szCs w:val="20"/>
              </w:rPr>
              <w:t>-98.274.767,19</w:t>
            </w:r>
          </w:p>
        </w:tc>
        <w:tc>
          <w:tcPr>
            <w:tcW w:w="1463" w:type="dxa"/>
            <w:tcBorders>
              <w:top w:val="nil"/>
              <w:left w:val="nil"/>
              <w:bottom w:val="single" w:sz="4" w:space="0" w:color="auto"/>
              <w:right w:val="single" w:sz="4" w:space="0" w:color="auto"/>
            </w:tcBorders>
            <w:shd w:val="clear" w:color="auto" w:fill="auto"/>
            <w:vAlign w:val="center"/>
            <w:hideMark/>
          </w:tcPr>
          <w:p w14:paraId="6D9C9576"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2B1EB7F2" w14:textId="77777777" w:rsidR="00CF3957" w:rsidRPr="00930A68" w:rsidRDefault="00CF3957" w:rsidP="001E71E3">
            <w:pPr>
              <w:jc w:val="center"/>
              <w:rPr>
                <w:sz w:val="20"/>
                <w:szCs w:val="20"/>
              </w:rPr>
            </w:pPr>
            <w:r w:rsidRPr="00930A68">
              <w:rPr>
                <w:sz w:val="20"/>
                <w:szCs w:val="20"/>
              </w:rPr>
              <w:t>P033</w:t>
            </w:r>
          </w:p>
        </w:tc>
      </w:tr>
      <w:tr w:rsidR="00CF3957" w:rsidRPr="00930A68" w14:paraId="548A8B2C"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5382E415" w14:textId="77777777" w:rsidR="00CF3957" w:rsidRPr="00930A68" w:rsidRDefault="00CF3957" w:rsidP="001E71E3">
            <w:pPr>
              <w:rPr>
                <w:sz w:val="20"/>
                <w:szCs w:val="20"/>
              </w:rPr>
            </w:pPr>
            <w:r w:rsidRPr="00930A68">
              <w:rPr>
                <w:sz w:val="20"/>
                <w:szCs w:val="20"/>
              </w:rPr>
              <w:t>Vrijednosno usklađenje obveza - Obveze za obveznice - inozemne</w:t>
            </w:r>
          </w:p>
        </w:tc>
        <w:tc>
          <w:tcPr>
            <w:tcW w:w="1564" w:type="dxa"/>
            <w:tcBorders>
              <w:top w:val="nil"/>
              <w:left w:val="nil"/>
              <w:bottom w:val="single" w:sz="4" w:space="0" w:color="auto"/>
              <w:right w:val="single" w:sz="4" w:space="0" w:color="auto"/>
            </w:tcBorders>
            <w:shd w:val="clear" w:color="auto" w:fill="auto"/>
            <w:noWrap/>
            <w:vAlign w:val="center"/>
            <w:hideMark/>
          </w:tcPr>
          <w:p w14:paraId="5F74E48D" w14:textId="77777777" w:rsidR="00CF3957" w:rsidRPr="00930A68" w:rsidRDefault="00CF3957" w:rsidP="001E71E3">
            <w:pPr>
              <w:jc w:val="right"/>
              <w:rPr>
                <w:sz w:val="20"/>
                <w:szCs w:val="20"/>
              </w:rPr>
            </w:pPr>
            <w:r w:rsidRPr="00930A68">
              <w:rPr>
                <w:sz w:val="20"/>
                <w:szCs w:val="20"/>
              </w:rPr>
              <w:t>-205.078.364,14</w:t>
            </w:r>
          </w:p>
        </w:tc>
        <w:tc>
          <w:tcPr>
            <w:tcW w:w="1463" w:type="dxa"/>
            <w:tcBorders>
              <w:top w:val="nil"/>
              <w:left w:val="nil"/>
              <w:bottom w:val="single" w:sz="4" w:space="0" w:color="auto"/>
              <w:right w:val="single" w:sz="4" w:space="0" w:color="auto"/>
            </w:tcBorders>
            <w:shd w:val="clear" w:color="auto" w:fill="auto"/>
            <w:vAlign w:val="center"/>
            <w:hideMark/>
          </w:tcPr>
          <w:p w14:paraId="2270D6C8"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5DEC7D2A" w14:textId="77777777" w:rsidR="00CF3957" w:rsidRPr="00930A68" w:rsidRDefault="00CF3957" w:rsidP="001E71E3">
            <w:pPr>
              <w:jc w:val="center"/>
              <w:rPr>
                <w:sz w:val="20"/>
                <w:szCs w:val="20"/>
              </w:rPr>
            </w:pPr>
            <w:r w:rsidRPr="00930A68">
              <w:rPr>
                <w:sz w:val="20"/>
                <w:szCs w:val="20"/>
              </w:rPr>
              <w:t>P033</w:t>
            </w:r>
          </w:p>
        </w:tc>
      </w:tr>
      <w:tr w:rsidR="00CF3957" w:rsidRPr="00930A68" w14:paraId="4865ACCC"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620A0BCC" w14:textId="77777777" w:rsidR="00CF3957" w:rsidRPr="00930A68" w:rsidRDefault="00CF3957" w:rsidP="001E71E3">
            <w:pPr>
              <w:rPr>
                <w:sz w:val="20"/>
                <w:szCs w:val="20"/>
              </w:rPr>
            </w:pPr>
            <w:r w:rsidRPr="00930A68">
              <w:rPr>
                <w:sz w:val="20"/>
                <w:szCs w:val="20"/>
              </w:rPr>
              <w:t>Vrijednosno usklađenje obveza - Obveze za zajmove od međunarodnih organizacija - dug</w:t>
            </w:r>
          </w:p>
        </w:tc>
        <w:tc>
          <w:tcPr>
            <w:tcW w:w="1564" w:type="dxa"/>
            <w:tcBorders>
              <w:top w:val="nil"/>
              <w:left w:val="nil"/>
              <w:bottom w:val="single" w:sz="4" w:space="0" w:color="auto"/>
              <w:right w:val="single" w:sz="4" w:space="0" w:color="auto"/>
            </w:tcBorders>
            <w:shd w:val="clear" w:color="auto" w:fill="auto"/>
            <w:noWrap/>
            <w:vAlign w:val="center"/>
            <w:hideMark/>
          </w:tcPr>
          <w:p w14:paraId="367371C5" w14:textId="77777777" w:rsidR="00CF3957" w:rsidRPr="00930A68" w:rsidRDefault="00CF3957" w:rsidP="001E71E3">
            <w:pPr>
              <w:jc w:val="right"/>
              <w:rPr>
                <w:sz w:val="20"/>
                <w:szCs w:val="20"/>
              </w:rPr>
            </w:pPr>
            <w:r w:rsidRPr="00930A68">
              <w:rPr>
                <w:sz w:val="20"/>
                <w:szCs w:val="20"/>
              </w:rPr>
              <w:t>-19.900.796,50</w:t>
            </w:r>
          </w:p>
        </w:tc>
        <w:tc>
          <w:tcPr>
            <w:tcW w:w="1463" w:type="dxa"/>
            <w:tcBorders>
              <w:top w:val="nil"/>
              <w:left w:val="nil"/>
              <w:bottom w:val="single" w:sz="4" w:space="0" w:color="auto"/>
              <w:right w:val="single" w:sz="4" w:space="0" w:color="auto"/>
            </w:tcBorders>
            <w:shd w:val="clear" w:color="auto" w:fill="auto"/>
            <w:vAlign w:val="center"/>
            <w:hideMark/>
          </w:tcPr>
          <w:p w14:paraId="05E0522F"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09BD90B9" w14:textId="77777777" w:rsidR="00CF3957" w:rsidRPr="00930A68" w:rsidRDefault="00CF3957" w:rsidP="001E71E3">
            <w:pPr>
              <w:jc w:val="center"/>
              <w:rPr>
                <w:sz w:val="20"/>
                <w:szCs w:val="20"/>
              </w:rPr>
            </w:pPr>
            <w:r w:rsidRPr="00930A68">
              <w:rPr>
                <w:sz w:val="20"/>
                <w:szCs w:val="20"/>
              </w:rPr>
              <w:t>P034</w:t>
            </w:r>
          </w:p>
        </w:tc>
      </w:tr>
      <w:tr w:rsidR="00CF3957" w:rsidRPr="00930A68" w14:paraId="41A528BE"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7FA2F2A9" w14:textId="77777777" w:rsidR="00CF3957" w:rsidRPr="00930A68" w:rsidRDefault="00CF3957" w:rsidP="001E71E3">
            <w:pPr>
              <w:rPr>
                <w:sz w:val="20"/>
                <w:szCs w:val="20"/>
              </w:rPr>
            </w:pPr>
            <w:r w:rsidRPr="00930A68">
              <w:rPr>
                <w:sz w:val="20"/>
                <w:szCs w:val="20"/>
              </w:rPr>
              <w:t>Vrijednosno usklađenje obveza - Obveze za EIB</w:t>
            </w:r>
          </w:p>
        </w:tc>
        <w:tc>
          <w:tcPr>
            <w:tcW w:w="1564" w:type="dxa"/>
            <w:tcBorders>
              <w:top w:val="nil"/>
              <w:left w:val="nil"/>
              <w:bottom w:val="single" w:sz="4" w:space="0" w:color="auto"/>
              <w:right w:val="single" w:sz="4" w:space="0" w:color="auto"/>
            </w:tcBorders>
            <w:shd w:val="clear" w:color="auto" w:fill="auto"/>
            <w:noWrap/>
            <w:vAlign w:val="center"/>
            <w:hideMark/>
          </w:tcPr>
          <w:p w14:paraId="29443475" w14:textId="77777777" w:rsidR="00CF3957" w:rsidRPr="00930A68" w:rsidRDefault="00CF3957" w:rsidP="001E71E3">
            <w:pPr>
              <w:jc w:val="right"/>
              <w:rPr>
                <w:sz w:val="20"/>
                <w:szCs w:val="20"/>
              </w:rPr>
            </w:pPr>
            <w:r w:rsidRPr="00930A68">
              <w:rPr>
                <w:sz w:val="20"/>
                <w:szCs w:val="20"/>
              </w:rPr>
              <w:t>-10.913.971,99</w:t>
            </w:r>
          </w:p>
        </w:tc>
        <w:tc>
          <w:tcPr>
            <w:tcW w:w="1463" w:type="dxa"/>
            <w:tcBorders>
              <w:top w:val="nil"/>
              <w:left w:val="nil"/>
              <w:bottom w:val="single" w:sz="4" w:space="0" w:color="auto"/>
              <w:right w:val="single" w:sz="4" w:space="0" w:color="auto"/>
            </w:tcBorders>
            <w:shd w:val="clear" w:color="auto" w:fill="auto"/>
            <w:vAlign w:val="center"/>
            <w:hideMark/>
          </w:tcPr>
          <w:p w14:paraId="389D381B"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027E4837" w14:textId="77777777" w:rsidR="00CF3957" w:rsidRPr="00930A68" w:rsidRDefault="00CF3957" w:rsidP="001E71E3">
            <w:pPr>
              <w:jc w:val="center"/>
              <w:rPr>
                <w:sz w:val="20"/>
                <w:szCs w:val="20"/>
              </w:rPr>
            </w:pPr>
            <w:r w:rsidRPr="00930A68">
              <w:rPr>
                <w:sz w:val="20"/>
                <w:szCs w:val="20"/>
              </w:rPr>
              <w:t>P034</w:t>
            </w:r>
          </w:p>
        </w:tc>
      </w:tr>
      <w:tr w:rsidR="00CF3957" w:rsidRPr="00930A68" w14:paraId="0A70D15C"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7818D4CB" w14:textId="77777777" w:rsidR="00CF3957" w:rsidRPr="00930A68" w:rsidRDefault="00CF3957" w:rsidP="001E71E3">
            <w:pPr>
              <w:rPr>
                <w:sz w:val="20"/>
                <w:szCs w:val="20"/>
              </w:rPr>
            </w:pPr>
            <w:r w:rsidRPr="00930A68">
              <w:rPr>
                <w:sz w:val="20"/>
                <w:szCs w:val="20"/>
              </w:rPr>
              <w:t>Vrijednosno usklađenje obveza - Obveze za SURE</w:t>
            </w:r>
          </w:p>
        </w:tc>
        <w:tc>
          <w:tcPr>
            <w:tcW w:w="1564" w:type="dxa"/>
            <w:tcBorders>
              <w:top w:val="nil"/>
              <w:left w:val="nil"/>
              <w:bottom w:val="single" w:sz="4" w:space="0" w:color="auto"/>
              <w:right w:val="single" w:sz="4" w:space="0" w:color="auto"/>
            </w:tcBorders>
            <w:shd w:val="clear" w:color="auto" w:fill="auto"/>
            <w:noWrap/>
            <w:vAlign w:val="center"/>
            <w:hideMark/>
          </w:tcPr>
          <w:p w14:paraId="6BA8636F" w14:textId="77777777" w:rsidR="00CF3957" w:rsidRPr="00930A68" w:rsidRDefault="00CF3957" w:rsidP="001E71E3">
            <w:pPr>
              <w:jc w:val="right"/>
              <w:rPr>
                <w:sz w:val="20"/>
                <w:szCs w:val="20"/>
              </w:rPr>
            </w:pPr>
            <w:r w:rsidRPr="00930A68">
              <w:rPr>
                <w:sz w:val="20"/>
                <w:szCs w:val="20"/>
              </w:rPr>
              <w:t>-8.799.600,00</w:t>
            </w:r>
          </w:p>
        </w:tc>
        <w:tc>
          <w:tcPr>
            <w:tcW w:w="1463" w:type="dxa"/>
            <w:tcBorders>
              <w:top w:val="nil"/>
              <w:left w:val="nil"/>
              <w:bottom w:val="single" w:sz="4" w:space="0" w:color="auto"/>
              <w:right w:val="single" w:sz="4" w:space="0" w:color="auto"/>
            </w:tcBorders>
            <w:shd w:val="clear" w:color="auto" w:fill="auto"/>
            <w:vAlign w:val="center"/>
            <w:hideMark/>
          </w:tcPr>
          <w:p w14:paraId="35FB848C"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0D18C601" w14:textId="77777777" w:rsidR="00CF3957" w:rsidRPr="00930A68" w:rsidRDefault="00CF3957" w:rsidP="001E71E3">
            <w:pPr>
              <w:jc w:val="center"/>
              <w:rPr>
                <w:sz w:val="20"/>
                <w:szCs w:val="20"/>
              </w:rPr>
            </w:pPr>
            <w:r w:rsidRPr="00930A68">
              <w:rPr>
                <w:sz w:val="20"/>
                <w:szCs w:val="20"/>
              </w:rPr>
              <w:t>P034</w:t>
            </w:r>
          </w:p>
        </w:tc>
      </w:tr>
      <w:tr w:rsidR="00CF3957" w:rsidRPr="00930A68" w14:paraId="30640C2B"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251C645B" w14:textId="77777777" w:rsidR="00CF3957" w:rsidRPr="00930A68" w:rsidRDefault="00CF3957" w:rsidP="001E71E3">
            <w:pPr>
              <w:rPr>
                <w:sz w:val="20"/>
                <w:szCs w:val="20"/>
              </w:rPr>
            </w:pPr>
            <w:r w:rsidRPr="00930A68">
              <w:rPr>
                <w:sz w:val="20"/>
                <w:szCs w:val="20"/>
              </w:rPr>
              <w:t>Vrijednosno usklađenje obveza - Obveze EIB ino jamstva</w:t>
            </w:r>
          </w:p>
        </w:tc>
        <w:tc>
          <w:tcPr>
            <w:tcW w:w="1564" w:type="dxa"/>
            <w:tcBorders>
              <w:top w:val="nil"/>
              <w:left w:val="nil"/>
              <w:bottom w:val="single" w:sz="4" w:space="0" w:color="auto"/>
              <w:right w:val="single" w:sz="4" w:space="0" w:color="auto"/>
            </w:tcBorders>
            <w:shd w:val="clear" w:color="auto" w:fill="auto"/>
            <w:noWrap/>
            <w:vAlign w:val="center"/>
            <w:hideMark/>
          </w:tcPr>
          <w:p w14:paraId="4D42B7CC" w14:textId="77777777" w:rsidR="00CF3957" w:rsidRPr="00930A68" w:rsidRDefault="00CF3957" w:rsidP="001E71E3">
            <w:pPr>
              <w:jc w:val="right"/>
              <w:rPr>
                <w:sz w:val="20"/>
                <w:szCs w:val="20"/>
              </w:rPr>
            </w:pPr>
            <w:r w:rsidRPr="00930A68">
              <w:rPr>
                <w:sz w:val="20"/>
                <w:szCs w:val="20"/>
              </w:rPr>
              <w:t>-350,19</w:t>
            </w:r>
          </w:p>
        </w:tc>
        <w:tc>
          <w:tcPr>
            <w:tcW w:w="1463" w:type="dxa"/>
            <w:tcBorders>
              <w:top w:val="nil"/>
              <w:left w:val="nil"/>
              <w:bottom w:val="single" w:sz="4" w:space="0" w:color="auto"/>
              <w:right w:val="single" w:sz="4" w:space="0" w:color="auto"/>
            </w:tcBorders>
            <w:shd w:val="clear" w:color="auto" w:fill="auto"/>
            <w:vAlign w:val="center"/>
            <w:hideMark/>
          </w:tcPr>
          <w:p w14:paraId="1391E48E"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5EF9CE16" w14:textId="77777777" w:rsidR="00CF3957" w:rsidRPr="00930A68" w:rsidRDefault="00CF3957" w:rsidP="001E71E3">
            <w:pPr>
              <w:jc w:val="center"/>
              <w:rPr>
                <w:sz w:val="20"/>
                <w:szCs w:val="20"/>
              </w:rPr>
            </w:pPr>
            <w:r w:rsidRPr="00930A68">
              <w:rPr>
                <w:sz w:val="20"/>
                <w:szCs w:val="20"/>
              </w:rPr>
              <w:t>P034</w:t>
            </w:r>
          </w:p>
        </w:tc>
      </w:tr>
      <w:tr w:rsidR="00CF3957" w:rsidRPr="00930A68" w14:paraId="7DB77ECC"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09338FDD" w14:textId="77777777" w:rsidR="00CF3957" w:rsidRPr="00930A68" w:rsidRDefault="00CF3957" w:rsidP="001E71E3">
            <w:pPr>
              <w:rPr>
                <w:sz w:val="20"/>
                <w:szCs w:val="20"/>
              </w:rPr>
            </w:pPr>
            <w:r w:rsidRPr="00930A68">
              <w:rPr>
                <w:sz w:val="20"/>
                <w:szCs w:val="20"/>
              </w:rPr>
              <w:t>Vrijednosno usklađenje obveza - Obveze za zajam FI NPOO</w:t>
            </w:r>
          </w:p>
        </w:tc>
        <w:tc>
          <w:tcPr>
            <w:tcW w:w="1564" w:type="dxa"/>
            <w:tcBorders>
              <w:top w:val="nil"/>
              <w:left w:val="nil"/>
              <w:bottom w:val="single" w:sz="4" w:space="0" w:color="auto"/>
              <w:right w:val="single" w:sz="4" w:space="0" w:color="auto"/>
            </w:tcBorders>
            <w:shd w:val="clear" w:color="auto" w:fill="auto"/>
            <w:noWrap/>
            <w:vAlign w:val="center"/>
            <w:hideMark/>
          </w:tcPr>
          <w:p w14:paraId="1A22B448" w14:textId="77777777" w:rsidR="00CF3957" w:rsidRPr="00930A68" w:rsidRDefault="00CF3957" w:rsidP="001E71E3">
            <w:pPr>
              <w:jc w:val="right"/>
              <w:rPr>
                <w:sz w:val="20"/>
                <w:szCs w:val="20"/>
              </w:rPr>
            </w:pPr>
            <w:r w:rsidRPr="00930A68">
              <w:rPr>
                <w:sz w:val="20"/>
                <w:szCs w:val="20"/>
              </w:rPr>
              <w:t>153.560,43</w:t>
            </w:r>
          </w:p>
        </w:tc>
        <w:tc>
          <w:tcPr>
            <w:tcW w:w="1463" w:type="dxa"/>
            <w:tcBorders>
              <w:top w:val="nil"/>
              <w:left w:val="nil"/>
              <w:bottom w:val="single" w:sz="4" w:space="0" w:color="auto"/>
              <w:right w:val="single" w:sz="4" w:space="0" w:color="auto"/>
            </w:tcBorders>
            <w:shd w:val="clear" w:color="auto" w:fill="auto"/>
            <w:vAlign w:val="center"/>
            <w:hideMark/>
          </w:tcPr>
          <w:p w14:paraId="406ADAF7" w14:textId="77777777" w:rsidR="00CF3957" w:rsidRPr="00930A68" w:rsidRDefault="00CF3957" w:rsidP="001E71E3">
            <w:pPr>
              <w:jc w:val="center"/>
              <w:rPr>
                <w:sz w:val="20"/>
                <w:szCs w:val="20"/>
              </w:rPr>
            </w:pPr>
            <w:r w:rsidRPr="00930A68">
              <w:rPr>
                <w:b/>
                <w:bCs/>
                <w:sz w:val="20"/>
                <w:szCs w:val="20"/>
              </w:rPr>
              <w:t>smanjenje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5E5F0108" w14:textId="77777777" w:rsidR="00CF3957" w:rsidRPr="00930A68" w:rsidRDefault="00CF3957" w:rsidP="001E71E3">
            <w:pPr>
              <w:jc w:val="center"/>
              <w:rPr>
                <w:sz w:val="20"/>
                <w:szCs w:val="20"/>
              </w:rPr>
            </w:pPr>
            <w:r w:rsidRPr="00930A68">
              <w:rPr>
                <w:sz w:val="20"/>
                <w:szCs w:val="20"/>
              </w:rPr>
              <w:t>P034</w:t>
            </w:r>
          </w:p>
        </w:tc>
      </w:tr>
      <w:tr w:rsidR="00CF3957" w:rsidRPr="00930A68" w14:paraId="4C2EDFBE"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038851B9" w14:textId="77777777" w:rsidR="00CF3957" w:rsidRPr="00930A68" w:rsidRDefault="00CF3957" w:rsidP="001E71E3">
            <w:pPr>
              <w:rPr>
                <w:sz w:val="20"/>
                <w:szCs w:val="20"/>
              </w:rPr>
            </w:pPr>
            <w:r w:rsidRPr="00930A68">
              <w:rPr>
                <w:sz w:val="20"/>
                <w:szCs w:val="20"/>
              </w:rPr>
              <w:t>Vrijednosno usklađenje obveza - Obveze za zajmove od inozemnih vlada u EU - dugoročni</w:t>
            </w:r>
          </w:p>
        </w:tc>
        <w:tc>
          <w:tcPr>
            <w:tcW w:w="1564" w:type="dxa"/>
            <w:tcBorders>
              <w:top w:val="nil"/>
              <w:left w:val="nil"/>
              <w:bottom w:val="single" w:sz="4" w:space="0" w:color="auto"/>
              <w:right w:val="single" w:sz="4" w:space="0" w:color="auto"/>
            </w:tcBorders>
            <w:shd w:val="clear" w:color="auto" w:fill="auto"/>
            <w:noWrap/>
            <w:vAlign w:val="center"/>
            <w:hideMark/>
          </w:tcPr>
          <w:p w14:paraId="1FB3D231" w14:textId="77777777" w:rsidR="00CF3957" w:rsidRPr="00930A68" w:rsidRDefault="00CF3957" w:rsidP="001E71E3">
            <w:pPr>
              <w:jc w:val="right"/>
              <w:rPr>
                <w:sz w:val="20"/>
                <w:szCs w:val="20"/>
              </w:rPr>
            </w:pPr>
            <w:r w:rsidRPr="00930A68">
              <w:rPr>
                <w:sz w:val="20"/>
                <w:szCs w:val="20"/>
              </w:rPr>
              <w:t>-3.949,41</w:t>
            </w:r>
          </w:p>
        </w:tc>
        <w:tc>
          <w:tcPr>
            <w:tcW w:w="1463" w:type="dxa"/>
            <w:tcBorders>
              <w:top w:val="nil"/>
              <w:left w:val="nil"/>
              <w:bottom w:val="single" w:sz="4" w:space="0" w:color="auto"/>
              <w:right w:val="single" w:sz="4" w:space="0" w:color="auto"/>
            </w:tcBorders>
            <w:shd w:val="clear" w:color="auto" w:fill="auto"/>
            <w:vAlign w:val="center"/>
            <w:hideMark/>
          </w:tcPr>
          <w:p w14:paraId="50936D2E"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42D04D36" w14:textId="77777777" w:rsidR="00CF3957" w:rsidRPr="00930A68" w:rsidRDefault="00CF3957" w:rsidP="001E71E3">
            <w:pPr>
              <w:jc w:val="center"/>
              <w:rPr>
                <w:sz w:val="20"/>
                <w:szCs w:val="20"/>
              </w:rPr>
            </w:pPr>
            <w:r w:rsidRPr="00930A68">
              <w:rPr>
                <w:sz w:val="20"/>
                <w:szCs w:val="20"/>
              </w:rPr>
              <w:t>P034</w:t>
            </w:r>
          </w:p>
        </w:tc>
      </w:tr>
      <w:tr w:rsidR="00CF3957" w:rsidRPr="00930A68" w14:paraId="785F8FB2"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3D4A4EAB" w14:textId="77777777" w:rsidR="00CF3957" w:rsidRPr="00930A68" w:rsidRDefault="00CF3957" w:rsidP="001E71E3">
            <w:pPr>
              <w:rPr>
                <w:sz w:val="20"/>
                <w:szCs w:val="20"/>
              </w:rPr>
            </w:pPr>
            <w:r w:rsidRPr="00930A68">
              <w:rPr>
                <w:sz w:val="20"/>
                <w:szCs w:val="20"/>
              </w:rPr>
              <w:t xml:space="preserve">Vrijednosno usklađenje obveza - Obv.za </w:t>
            </w:r>
            <w:proofErr w:type="spellStart"/>
            <w:r w:rsidRPr="00930A68">
              <w:rPr>
                <w:sz w:val="20"/>
                <w:szCs w:val="20"/>
              </w:rPr>
              <w:t>zajm.iz</w:t>
            </w:r>
            <w:proofErr w:type="spellEnd"/>
            <w:r w:rsidRPr="00930A68">
              <w:rPr>
                <w:sz w:val="20"/>
                <w:szCs w:val="20"/>
              </w:rPr>
              <w:t xml:space="preserve"> 1956.g. Njemačka, Pariški klub</w:t>
            </w:r>
          </w:p>
        </w:tc>
        <w:tc>
          <w:tcPr>
            <w:tcW w:w="1564" w:type="dxa"/>
            <w:tcBorders>
              <w:top w:val="nil"/>
              <w:left w:val="nil"/>
              <w:bottom w:val="single" w:sz="4" w:space="0" w:color="auto"/>
              <w:right w:val="single" w:sz="4" w:space="0" w:color="auto"/>
            </w:tcBorders>
            <w:shd w:val="clear" w:color="auto" w:fill="auto"/>
            <w:noWrap/>
            <w:vAlign w:val="center"/>
            <w:hideMark/>
          </w:tcPr>
          <w:p w14:paraId="66B8DD5F" w14:textId="77777777" w:rsidR="00CF3957" w:rsidRPr="00930A68" w:rsidRDefault="00CF3957" w:rsidP="001E71E3">
            <w:pPr>
              <w:jc w:val="right"/>
              <w:rPr>
                <w:sz w:val="20"/>
                <w:szCs w:val="20"/>
              </w:rPr>
            </w:pPr>
            <w:r w:rsidRPr="00930A68">
              <w:rPr>
                <w:sz w:val="20"/>
                <w:szCs w:val="20"/>
              </w:rPr>
              <w:t>-605.858,43</w:t>
            </w:r>
          </w:p>
        </w:tc>
        <w:tc>
          <w:tcPr>
            <w:tcW w:w="1463" w:type="dxa"/>
            <w:tcBorders>
              <w:top w:val="nil"/>
              <w:left w:val="nil"/>
              <w:bottom w:val="single" w:sz="4" w:space="0" w:color="auto"/>
              <w:right w:val="single" w:sz="4" w:space="0" w:color="auto"/>
            </w:tcBorders>
            <w:shd w:val="clear" w:color="auto" w:fill="auto"/>
            <w:vAlign w:val="center"/>
            <w:hideMark/>
          </w:tcPr>
          <w:p w14:paraId="5D116AE3"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003E7D75" w14:textId="77777777" w:rsidR="00CF3957" w:rsidRPr="00930A68" w:rsidRDefault="00CF3957" w:rsidP="001E71E3">
            <w:pPr>
              <w:jc w:val="center"/>
              <w:rPr>
                <w:sz w:val="20"/>
                <w:szCs w:val="20"/>
              </w:rPr>
            </w:pPr>
            <w:r w:rsidRPr="00930A68">
              <w:rPr>
                <w:sz w:val="20"/>
                <w:szCs w:val="20"/>
              </w:rPr>
              <w:t>P034</w:t>
            </w:r>
          </w:p>
        </w:tc>
      </w:tr>
      <w:tr w:rsidR="00CF3957" w:rsidRPr="00930A68" w14:paraId="1073F2E2"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0518A797" w14:textId="77777777" w:rsidR="00CF3957" w:rsidRPr="00930A68" w:rsidRDefault="00CF3957" w:rsidP="001E71E3">
            <w:pPr>
              <w:rPr>
                <w:sz w:val="20"/>
                <w:szCs w:val="20"/>
              </w:rPr>
            </w:pPr>
            <w:r w:rsidRPr="00930A68">
              <w:rPr>
                <w:sz w:val="20"/>
                <w:szCs w:val="20"/>
              </w:rPr>
              <w:t xml:space="preserve">Vrijednosno usklađenje obveza - Obveze za kredite od kreditnih institucija u JS - </w:t>
            </w:r>
            <w:proofErr w:type="spellStart"/>
            <w:r w:rsidRPr="00930A68">
              <w:rPr>
                <w:sz w:val="20"/>
                <w:szCs w:val="20"/>
              </w:rPr>
              <w:t>dugor</w:t>
            </w:r>
            <w:proofErr w:type="spellEnd"/>
          </w:p>
        </w:tc>
        <w:tc>
          <w:tcPr>
            <w:tcW w:w="1564" w:type="dxa"/>
            <w:tcBorders>
              <w:top w:val="nil"/>
              <w:left w:val="nil"/>
              <w:bottom w:val="single" w:sz="4" w:space="0" w:color="auto"/>
              <w:right w:val="single" w:sz="4" w:space="0" w:color="auto"/>
            </w:tcBorders>
            <w:shd w:val="clear" w:color="auto" w:fill="auto"/>
            <w:noWrap/>
            <w:vAlign w:val="center"/>
            <w:hideMark/>
          </w:tcPr>
          <w:p w14:paraId="1DE1FA63" w14:textId="77777777" w:rsidR="00CF3957" w:rsidRPr="00930A68" w:rsidRDefault="00CF3957" w:rsidP="001E71E3">
            <w:pPr>
              <w:jc w:val="right"/>
              <w:rPr>
                <w:sz w:val="20"/>
                <w:szCs w:val="20"/>
              </w:rPr>
            </w:pPr>
            <w:r w:rsidRPr="00930A68">
              <w:rPr>
                <w:sz w:val="20"/>
                <w:szCs w:val="20"/>
              </w:rPr>
              <w:t>-1.048.819,28</w:t>
            </w:r>
          </w:p>
        </w:tc>
        <w:tc>
          <w:tcPr>
            <w:tcW w:w="1463" w:type="dxa"/>
            <w:tcBorders>
              <w:top w:val="nil"/>
              <w:left w:val="nil"/>
              <w:bottom w:val="single" w:sz="4" w:space="0" w:color="auto"/>
              <w:right w:val="single" w:sz="4" w:space="0" w:color="auto"/>
            </w:tcBorders>
            <w:shd w:val="clear" w:color="auto" w:fill="auto"/>
            <w:vAlign w:val="center"/>
            <w:hideMark/>
          </w:tcPr>
          <w:p w14:paraId="014F7A17"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610B7AD4" w14:textId="77777777" w:rsidR="00CF3957" w:rsidRPr="00930A68" w:rsidRDefault="00CF3957" w:rsidP="001E71E3">
            <w:pPr>
              <w:jc w:val="center"/>
              <w:rPr>
                <w:sz w:val="20"/>
                <w:szCs w:val="20"/>
              </w:rPr>
            </w:pPr>
            <w:r w:rsidRPr="00930A68">
              <w:rPr>
                <w:sz w:val="20"/>
                <w:szCs w:val="20"/>
              </w:rPr>
              <w:t>P034</w:t>
            </w:r>
          </w:p>
        </w:tc>
      </w:tr>
      <w:tr w:rsidR="00CF3957" w:rsidRPr="00930A68" w14:paraId="265689AF" w14:textId="77777777" w:rsidTr="001E71E3">
        <w:trPr>
          <w:trHeight w:val="702"/>
        </w:trPr>
        <w:tc>
          <w:tcPr>
            <w:tcW w:w="4610" w:type="dxa"/>
            <w:tcBorders>
              <w:top w:val="nil"/>
              <w:left w:val="single" w:sz="8" w:space="0" w:color="auto"/>
              <w:bottom w:val="single" w:sz="4" w:space="0" w:color="auto"/>
              <w:right w:val="single" w:sz="4" w:space="0" w:color="auto"/>
            </w:tcBorders>
            <w:shd w:val="clear" w:color="auto" w:fill="auto"/>
            <w:vAlign w:val="center"/>
            <w:hideMark/>
          </w:tcPr>
          <w:p w14:paraId="4B397B34" w14:textId="77777777" w:rsidR="00CF3957" w:rsidRPr="00930A68" w:rsidRDefault="00CF3957" w:rsidP="001E71E3">
            <w:pPr>
              <w:rPr>
                <w:sz w:val="20"/>
                <w:szCs w:val="20"/>
              </w:rPr>
            </w:pPr>
            <w:r w:rsidRPr="00930A68">
              <w:rPr>
                <w:sz w:val="20"/>
                <w:szCs w:val="20"/>
              </w:rPr>
              <w:t>Vrijednosno usklađenje obveza - Obveze za kredite od kreditnih institucija  van JS - dug</w:t>
            </w:r>
          </w:p>
        </w:tc>
        <w:tc>
          <w:tcPr>
            <w:tcW w:w="1564" w:type="dxa"/>
            <w:tcBorders>
              <w:top w:val="nil"/>
              <w:left w:val="nil"/>
              <w:bottom w:val="single" w:sz="4" w:space="0" w:color="auto"/>
              <w:right w:val="single" w:sz="4" w:space="0" w:color="auto"/>
            </w:tcBorders>
            <w:shd w:val="clear" w:color="auto" w:fill="auto"/>
            <w:noWrap/>
            <w:vAlign w:val="center"/>
            <w:hideMark/>
          </w:tcPr>
          <w:p w14:paraId="77384F15" w14:textId="77777777" w:rsidR="00CF3957" w:rsidRPr="00930A68" w:rsidRDefault="00CF3957" w:rsidP="001E71E3">
            <w:pPr>
              <w:jc w:val="right"/>
              <w:rPr>
                <w:sz w:val="20"/>
                <w:szCs w:val="20"/>
              </w:rPr>
            </w:pPr>
            <w:r w:rsidRPr="00930A68">
              <w:rPr>
                <w:sz w:val="20"/>
                <w:szCs w:val="20"/>
              </w:rPr>
              <w:t>-8.844.555,35</w:t>
            </w:r>
          </w:p>
        </w:tc>
        <w:tc>
          <w:tcPr>
            <w:tcW w:w="1463" w:type="dxa"/>
            <w:tcBorders>
              <w:top w:val="nil"/>
              <w:left w:val="nil"/>
              <w:bottom w:val="single" w:sz="4" w:space="0" w:color="auto"/>
              <w:right w:val="single" w:sz="4" w:space="0" w:color="auto"/>
            </w:tcBorders>
            <w:shd w:val="clear" w:color="auto" w:fill="auto"/>
            <w:vAlign w:val="center"/>
            <w:hideMark/>
          </w:tcPr>
          <w:p w14:paraId="463EC6A0"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4" w:space="0" w:color="auto"/>
              <w:right w:val="single" w:sz="8" w:space="0" w:color="auto"/>
            </w:tcBorders>
            <w:shd w:val="clear" w:color="auto" w:fill="auto"/>
            <w:vAlign w:val="center"/>
            <w:hideMark/>
          </w:tcPr>
          <w:p w14:paraId="7156B479" w14:textId="77777777" w:rsidR="00CF3957" w:rsidRPr="00930A68" w:rsidRDefault="00CF3957" w:rsidP="001E71E3">
            <w:pPr>
              <w:jc w:val="center"/>
              <w:rPr>
                <w:sz w:val="20"/>
                <w:szCs w:val="20"/>
              </w:rPr>
            </w:pPr>
            <w:r w:rsidRPr="00930A68">
              <w:rPr>
                <w:sz w:val="20"/>
                <w:szCs w:val="20"/>
              </w:rPr>
              <w:t>P034</w:t>
            </w:r>
          </w:p>
        </w:tc>
      </w:tr>
      <w:tr w:rsidR="00CF3957" w:rsidRPr="00930A68" w14:paraId="56E51C2C" w14:textId="77777777" w:rsidTr="001E71E3">
        <w:trPr>
          <w:trHeight w:val="722"/>
        </w:trPr>
        <w:tc>
          <w:tcPr>
            <w:tcW w:w="4610" w:type="dxa"/>
            <w:tcBorders>
              <w:top w:val="nil"/>
              <w:left w:val="single" w:sz="8" w:space="0" w:color="auto"/>
              <w:bottom w:val="single" w:sz="8" w:space="0" w:color="auto"/>
              <w:right w:val="single" w:sz="4" w:space="0" w:color="auto"/>
            </w:tcBorders>
            <w:shd w:val="clear" w:color="auto" w:fill="auto"/>
            <w:vAlign w:val="center"/>
            <w:hideMark/>
          </w:tcPr>
          <w:p w14:paraId="60ECBEA3" w14:textId="77777777" w:rsidR="00CF3957" w:rsidRPr="00930A68" w:rsidRDefault="00CF3957" w:rsidP="001E71E3">
            <w:pPr>
              <w:rPr>
                <w:sz w:val="20"/>
                <w:szCs w:val="20"/>
              </w:rPr>
            </w:pPr>
            <w:r w:rsidRPr="00930A68">
              <w:rPr>
                <w:sz w:val="20"/>
                <w:szCs w:val="20"/>
              </w:rPr>
              <w:t>Vrijednosno usklađenje obveza - Obveze za kredite od sveučilišta - EUR</w:t>
            </w:r>
          </w:p>
        </w:tc>
        <w:tc>
          <w:tcPr>
            <w:tcW w:w="1564" w:type="dxa"/>
            <w:tcBorders>
              <w:top w:val="nil"/>
              <w:left w:val="nil"/>
              <w:bottom w:val="single" w:sz="8" w:space="0" w:color="auto"/>
              <w:right w:val="single" w:sz="4" w:space="0" w:color="auto"/>
            </w:tcBorders>
            <w:shd w:val="clear" w:color="auto" w:fill="auto"/>
            <w:noWrap/>
            <w:vAlign w:val="center"/>
            <w:hideMark/>
          </w:tcPr>
          <w:p w14:paraId="755A58AA" w14:textId="77777777" w:rsidR="00CF3957" w:rsidRPr="00930A68" w:rsidRDefault="00CF3957" w:rsidP="001E71E3">
            <w:pPr>
              <w:jc w:val="right"/>
              <w:rPr>
                <w:sz w:val="20"/>
                <w:szCs w:val="20"/>
              </w:rPr>
            </w:pPr>
            <w:r w:rsidRPr="00930A68">
              <w:rPr>
                <w:sz w:val="20"/>
                <w:szCs w:val="20"/>
              </w:rPr>
              <w:t>-27.457,77</w:t>
            </w:r>
          </w:p>
        </w:tc>
        <w:tc>
          <w:tcPr>
            <w:tcW w:w="1463" w:type="dxa"/>
            <w:tcBorders>
              <w:top w:val="nil"/>
              <w:left w:val="nil"/>
              <w:bottom w:val="single" w:sz="8" w:space="0" w:color="auto"/>
              <w:right w:val="single" w:sz="4" w:space="0" w:color="auto"/>
            </w:tcBorders>
            <w:shd w:val="clear" w:color="auto" w:fill="auto"/>
            <w:vAlign w:val="center"/>
            <w:hideMark/>
          </w:tcPr>
          <w:p w14:paraId="26086FB7" w14:textId="77777777" w:rsidR="00CF3957" w:rsidRPr="00930A68" w:rsidRDefault="00CF3957" w:rsidP="001E71E3">
            <w:pPr>
              <w:jc w:val="center"/>
              <w:rPr>
                <w:sz w:val="20"/>
                <w:szCs w:val="20"/>
              </w:rPr>
            </w:pPr>
            <w:r w:rsidRPr="00930A68">
              <w:rPr>
                <w:b/>
                <w:bCs/>
                <w:sz w:val="20"/>
                <w:szCs w:val="20"/>
              </w:rPr>
              <w:t>povećanje</w:t>
            </w:r>
            <w:r w:rsidRPr="00930A68">
              <w:rPr>
                <w:sz w:val="20"/>
                <w:szCs w:val="20"/>
              </w:rPr>
              <w:t xml:space="preserve"> vrijednosti obveza</w:t>
            </w:r>
          </w:p>
        </w:tc>
        <w:tc>
          <w:tcPr>
            <w:tcW w:w="1278" w:type="dxa"/>
            <w:tcBorders>
              <w:top w:val="nil"/>
              <w:left w:val="nil"/>
              <w:bottom w:val="single" w:sz="8" w:space="0" w:color="auto"/>
              <w:right w:val="single" w:sz="8" w:space="0" w:color="auto"/>
            </w:tcBorders>
            <w:shd w:val="clear" w:color="auto" w:fill="auto"/>
            <w:vAlign w:val="center"/>
            <w:hideMark/>
          </w:tcPr>
          <w:p w14:paraId="2CB27FFF" w14:textId="77777777" w:rsidR="00CF3957" w:rsidRPr="00930A68" w:rsidRDefault="00CF3957" w:rsidP="001E71E3">
            <w:pPr>
              <w:jc w:val="center"/>
              <w:rPr>
                <w:sz w:val="20"/>
                <w:szCs w:val="20"/>
              </w:rPr>
            </w:pPr>
            <w:r w:rsidRPr="00930A68">
              <w:rPr>
                <w:sz w:val="20"/>
                <w:szCs w:val="20"/>
              </w:rPr>
              <w:t>P034</w:t>
            </w:r>
          </w:p>
        </w:tc>
      </w:tr>
    </w:tbl>
    <w:p w14:paraId="2E76A937" w14:textId="20E04006" w:rsidR="00CF3957" w:rsidRDefault="00CF3957" w:rsidP="00CF3957"/>
    <w:p w14:paraId="5604EE2F" w14:textId="77777777" w:rsidR="002A7CFB" w:rsidRDefault="002A7CFB" w:rsidP="00CF3957"/>
    <w:p w14:paraId="4DCF8D85" w14:textId="5E4EBAA1" w:rsidR="002A7CFB" w:rsidRDefault="002A7CFB" w:rsidP="002A7CFB">
      <w:r w:rsidRPr="000F5777">
        <w:t xml:space="preserve">Promjene u </w:t>
      </w:r>
      <w:r>
        <w:t xml:space="preserve">obujmu financijske imovine </w:t>
      </w:r>
    </w:p>
    <w:tbl>
      <w:tblPr>
        <w:tblW w:w="8915" w:type="dxa"/>
        <w:tblLook w:val="04A0" w:firstRow="1" w:lastRow="0" w:firstColumn="1" w:lastColumn="0" w:noHBand="0" w:noVBand="1"/>
      </w:tblPr>
      <w:tblGrid>
        <w:gridCol w:w="4610"/>
        <w:gridCol w:w="1564"/>
        <w:gridCol w:w="1463"/>
        <w:gridCol w:w="1278"/>
      </w:tblGrid>
      <w:tr w:rsidR="002A7CFB" w:rsidRPr="00930A68" w14:paraId="20A55958" w14:textId="77777777" w:rsidTr="002A7CFB">
        <w:trPr>
          <w:trHeight w:val="867"/>
        </w:trPr>
        <w:tc>
          <w:tcPr>
            <w:tcW w:w="46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75140A" w14:textId="77777777" w:rsidR="002A7CFB" w:rsidRPr="00930A68" w:rsidRDefault="002A7CFB" w:rsidP="002A7CFB">
            <w:pPr>
              <w:jc w:val="center"/>
              <w:rPr>
                <w:b/>
                <w:bCs/>
                <w:sz w:val="20"/>
                <w:szCs w:val="20"/>
              </w:rPr>
            </w:pPr>
            <w:r w:rsidRPr="00930A68">
              <w:rPr>
                <w:b/>
                <w:bCs/>
                <w:sz w:val="20"/>
                <w:szCs w:val="20"/>
              </w:rPr>
              <w:t>Opis knjiženja</w:t>
            </w:r>
          </w:p>
        </w:tc>
        <w:tc>
          <w:tcPr>
            <w:tcW w:w="1564" w:type="dxa"/>
            <w:tcBorders>
              <w:top w:val="single" w:sz="8" w:space="0" w:color="auto"/>
              <w:left w:val="nil"/>
              <w:bottom w:val="single" w:sz="4" w:space="0" w:color="auto"/>
              <w:right w:val="single" w:sz="4" w:space="0" w:color="auto"/>
            </w:tcBorders>
            <w:shd w:val="clear" w:color="auto" w:fill="auto"/>
            <w:noWrap/>
            <w:vAlign w:val="center"/>
            <w:hideMark/>
          </w:tcPr>
          <w:p w14:paraId="5C8E8C9D" w14:textId="77777777" w:rsidR="002A7CFB" w:rsidRPr="00930A68" w:rsidRDefault="002A7CFB" w:rsidP="002A7CFB">
            <w:pPr>
              <w:jc w:val="center"/>
              <w:rPr>
                <w:b/>
                <w:bCs/>
                <w:sz w:val="20"/>
                <w:szCs w:val="20"/>
              </w:rPr>
            </w:pPr>
            <w:r w:rsidRPr="00930A68">
              <w:rPr>
                <w:b/>
                <w:bCs/>
                <w:sz w:val="20"/>
                <w:szCs w:val="20"/>
              </w:rPr>
              <w:t>Iznos</w:t>
            </w:r>
          </w:p>
        </w:tc>
        <w:tc>
          <w:tcPr>
            <w:tcW w:w="1463" w:type="dxa"/>
            <w:tcBorders>
              <w:top w:val="single" w:sz="8" w:space="0" w:color="auto"/>
              <w:left w:val="nil"/>
              <w:bottom w:val="single" w:sz="4" w:space="0" w:color="auto"/>
              <w:right w:val="single" w:sz="4" w:space="0" w:color="auto"/>
            </w:tcBorders>
            <w:shd w:val="clear" w:color="auto" w:fill="auto"/>
            <w:vAlign w:val="center"/>
            <w:hideMark/>
          </w:tcPr>
          <w:p w14:paraId="63B539BA" w14:textId="77777777" w:rsidR="002A7CFB" w:rsidRPr="00930A68" w:rsidRDefault="002A7CFB" w:rsidP="002A7CFB">
            <w:pPr>
              <w:jc w:val="center"/>
              <w:rPr>
                <w:b/>
                <w:bCs/>
                <w:sz w:val="20"/>
                <w:szCs w:val="20"/>
              </w:rPr>
            </w:pPr>
            <w:r w:rsidRPr="00930A68">
              <w:rPr>
                <w:b/>
                <w:bCs/>
                <w:sz w:val="20"/>
                <w:szCs w:val="20"/>
              </w:rPr>
              <w:t>smanj</w:t>
            </w:r>
            <w:r>
              <w:rPr>
                <w:b/>
                <w:bCs/>
                <w:sz w:val="20"/>
                <w:szCs w:val="20"/>
              </w:rPr>
              <w:t>e</w:t>
            </w:r>
            <w:r w:rsidRPr="00930A68">
              <w:rPr>
                <w:b/>
                <w:bCs/>
                <w:sz w:val="20"/>
                <w:szCs w:val="20"/>
              </w:rPr>
              <w:t>nje/ povećanje</w:t>
            </w:r>
          </w:p>
        </w:tc>
        <w:tc>
          <w:tcPr>
            <w:tcW w:w="1278" w:type="dxa"/>
            <w:tcBorders>
              <w:top w:val="single" w:sz="8" w:space="0" w:color="auto"/>
              <w:left w:val="nil"/>
              <w:bottom w:val="single" w:sz="4" w:space="0" w:color="auto"/>
              <w:right w:val="single" w:sz="8" w:space="0" w:color="auto"/>
            </w:tcBorders>
            <w:shd w:val="clear" w:color="auto" w:fill="auto"/>
            <w:vAlign w:val="center"/>
            <w:hideMark/>
          </w:tcPr>
          <w:p w14:paraId="3A74747B" w14:textId="77777777" w:rsidR="002A7CFB" w:rsidRPr="00930A68" w:rsidRDefault="002A7CFB" w:rsidP="002A7CFB">
            <w:pPr>
              <w:jc w:val="center"/>
              <w:rPr>
                <w:b/>
                <w:bCs/>
                <w:sz w:val="20"/>
                <w:szCs w:val="20"/>
              </w:rPr>
            </w:pPr>
            <w:r>
              <w:rPr>
                <w:b/>
                <w:bCs/>
                <w:sz w:val="20"/>
                <w:szCs w:val="20"/>
              </w:rPr>
              <w:t>Šifra</w:t>
            </w:r>
          </w:p>
        </w:tc>
      </w:tr>
      <w:tr w:rsidR="002A7CFB" w:rsidRPr="00930A68" w14:paraId="7877654E" w14:textId="77777777" w:rsidTr="002A7CFB">
        <w:trPr>
          <w:trHeight w:val="702"/>
        </w:trPr>
        <w:tc>
          <w:tcPr>
            <w:tcW w:w="4610" w:type="dxa"/>
            <w:tcBorders>
              <w:top w:val="nil"/>
              <w:left w:val="single" w:sz="8" w:space="0" w:color="auto"/>
              <w:bottom w:val="single" w:sz="4" w:space="0" w:color="auto"/>
              <w:right w:val="single" w:sz="4" w:space="0" w:color="auto"/>
            </w:tcBorders>
            <w:shd w:val="clear" w:color="auto" w:fill="auto"/>
            <w:vAlign w:val="center"/>
          </w:tcPr>
          <w:p w14:paraId="02614377" w14:textId="078C1994" w:rsidR="002A7CFB" w:rsidRPr="00930A68" w:rsidRDefault="002A7CFB" w:rsidP="002A7CFB">
            <w:pPr>
              <w:rPr>
                <w:sz w:val="20"/>
                <w:szCs w:val="20"/>
              </w:rPr>
            </w:pPr>
            <w:bookmarkStart w:id="2" w:name="_GoBack"/>
            <w:r w:rsidRPr="002A7CFB">
              <w:rPr>
                <w:sz w:val="20"/>
                <w:szCs w:val="20"/>
              </w:rPr>
              <w:t xml:space="preserve">Promjena u obujmu financijske imovine (Potraž.za prihode poslovanja </w:t>
            </w:r>
            <w:r>
              <w:rPr>
                <w:sz w:val="20"/>
                <w:szCs w:val="20"/>
              </w:rPr>
              <w:t xml:space="preserve">- </w:t>
            </w:r>
            <w:r w:rsidRPr="002A7CFB">
              <w:rPr>
                <w:sz w:val="20"/>
                <w:szCs w:val="20"/>
              </w:rPr>
              <w:t>ŽUBA)</w:t>
            </w:r>
            <w:bookmarkEnd w:id="2"/>
          </w:p>
        </w:tc>
        <w:tc>
          <w:tcPr>
            <w:tcW w:w="1564" w:type="dxa"/>
            <w:tcBorders>
              <w:top w:val="nil"/>
              <w:left w:val="nil"/>
              <w:bottom w:val="single" w:sz="4" w:space="0" w:color="auto"/>
              <w:right w:val="single" w:sz="4" w:space="0" w:color="auto"/>
            </w:tcBorders>
            <w:shd w:val="clear" w:color="auto" w:fill="auto"/>
            <w:noWrap/>
            <w:vAlign w:val="center"/>
          </w:tcPr>
          <w:p w14:paraId="6865CC13" w14:textId="4A8DFA65" w:rsidR="002A7CFB" w:rsidRPr="00930A68" w:rsidRDefault="002A7CFB" w:rsidP="002A7CFB">
            <w:pPr>
              <w:jc w:val="right"/>
              <w:rPr>
                <w:sz w:val="20"/>
                <w:szCs w:val="20"/>
              </w:rPr>
            </w:pPr>
            <w:r w:rsidRPr="002A7CFB">
              <w:rPr>
                <w:sz w:val="20"/>
                <w:szCs w:val="20"/>
              </w:rPr>
              <w:t>-4.131.435,10</w:t>
            </w:r>
          </w:p>
        </w:tc>
        <w:tc>
          <w:tcPr>
            <w:tcW w:w="1463" w:type="dxa"/>
            <w:tcBorders>
              <w:top w:val="nil"/>
              <w:left w:val="nil"/>
              <w:bottom w:val="single" w:sz="4" w:space="0" w:color="auto"/>
              <w:right w:val="single" w:sz="4" w:space="0" w:color="auto"/>
            </w:tcBorders>
            <w:shd w:val="clear" w:color="auto" w:fill="auto"/>
            <w:vAlign w:val="center"/>
          </w:tcPr>
          <w:p w14:paraId="2452D650" w14:textId="28306582" w:rsidR="002A7CFB" w:rsidRPr="00930A68" w:rsidRDefault="002A7CFB" w:rsidP="002A7CFB">
            <w:pPr>
              <w:jc w:val="center"/>
              <w:rPr>
                <w:sz w:val="20"/>
                <w:szCs w:val="20"/>
              </w:rPr>
            </w:pPr>
            <w:r w:rsidRPr="002A7CFB">
              <w:rPr>
                <w:b/>
                <w:sz w:val="20"/>
                <w:szCs w:val="20"/>
              </w:rPr>
              <w:t xml:space="preserve">smanjenje </w:t>
            </w:r>
            <w:r w:rsidRPr="002A7CFB">
              <w:rPr>
                <w:sz w:val="20"/>
                <w:szCs w:val="20"/>
              </w:rPr>
              <w:t>obujma imovine</w:t>
            </w:r>
          </w:p>
        </w:tc>
        <w:tc>
          <w:tcPr>
            <w:tcW w:w="1278" w:type="dxa"/>
            <w:tcBorders>
              <w:top w:val="nil"/>
              <w:left w:val="nil"/>
              <w:bottom w:val="single" w:sz="4" w:space="0" w:color="auto"/>
              <w:right w:val="single" w:sz="8" w:space="0" w:color="auto"/>
            </w:tcBorders>
            <w:shd w:val="clear" w:color="auto" w:fill="auto"/>
            <w:vAlign w:val="center"/>
          </w:tcPr>
          <w:p w14:paraId="18F48AA4" w14:textId="09A3C2B0" w:rsidR="002A7CFB" w:rsidRPr="00930A68" w:rsidRDefault="002A7CFB" w:rsidP="002A7CFB">
            <w:pPr>
              <w:jc w:val="center"/>
              <w:rPr>
                <w:sz w:val="20"/>
                <w:szCs w:val="20"/>
              </w:rPr>
            </w:pPr>
            <w:r>
              <w:rPr>
                <w:sz w:val="20"/>
                <w:szCs w:val="20"/>
              </w:rPr>
              <w:t>P029</w:t>
            </w:r>
          </w:p>
        </w:tc>
      </w:tr>
    </w:tbl>
    <w:p w14:paraId="194665AB" w14:textId="77777777" w:rsidR="00CF3957" w:rsidRDefault="00CF3957" w:rsidP="00CF3957"/>
    <w:p w14:paraId="38C26351" w14:textId="77777777" w:rsidR="00CF3957" w:rsidRPr="00B852EF" w:rsidRDefault="00CF3957" w:rsidP="00CF3957">
      <w:pPr>
        <w:jc w:val="center"/>
        <w:outlineLvl w:val="0"/>
        <w:rPr>
          <w:b/>
          <w:bCs/>
          <w:sz w:val="28"/>
        </w:rPr>
      </w:pPr>
      <w:r w:rsidRPr="003B30B6">
        <w:br w:type="page"/>
      </w:r>
      <w:r w:rsidRPr="00B852EF">
        <w:rPr>
          <w:b/>
          <w:bCs/>
          <w:sz w:val="28"/>
        </w:rPr>
        <w:lastRenderedPageBreak/>
        <w:t>BILJEŠKE UZ IZVJEŠTAJ O RASHODIMA PREMA FUNKCIJSKOJ KLASIFIKACIJI</w:t>
      </w:r>
    </w:p>
    <w:p w14:paraId="1468E9ED" w14:textId="77777777" w:rsidR="00CF3957" w:rsidRPr="00B852EF" w:rsidRDefault="00CF3957" w:rsidP="00CF3957">
      <w:pPr>
        <w:jc w:val="both"/>
      </w:pPr>
    </w:p>
    <w:p w14:paraId="17E2F83A" w14:textId="77777777" w:rsidR="00CF3957" w:rsidRPr="00B852EF" w:rsidRDefault="00CF3957" w:rsidP="00CF3957">
      <w:pPr>
        <w:jc w:val="center"/>
        <w:rPr>
          <w:sz w:val="28"/>
          <w:szCs w:val="28"/>
        </w:rPr>
      </w:pPr>
      <w:r w:rsidRPr="00B852EF">
        <w:rPr>
          <w:sz w:val="28"/>
          <w:szCs w:val="28"/>
        </w:rPr>
        <w:t xml:space="preserve">Bilješka 1. </w:t>
      </w:r>
    </w:p>
    <w:p w14:paraId="7959755A" w14:textId="77777777" w:rsidR="00CF3957" w:rsidRPr="00B852EF" w:rsidRDefault="00CF3957" w:rsidP="00CF3957">
      <w:pPr>
        <w:jc w:val="both"/>
      </w:pPr>
      <w:r w:rsidRPr="00B852EF">
        <w:t>U Obrascu RAS-funkcijski iskazani su rashodi razreda 3 i 4 prema funkcijama za koje su utrošeni.</w:t>
      </w:r>
    </w:p>
    <w:p w14:paraId="77F7E4F2" w14:textId="77777777" w:rsidR="00CF3957" w:rsidRPr="00B852EF" w:rsidRDefault="00CF3957" w:rsidP="00CF3957">
      <w:pPr>
        <w:jc w:val="both"/>
        <w:rPr>
          <w:b/>
          <w:bCs/>
        </w:rPr>
      </w:pPr>
    </w:p>
    <w:p w14:paraId="7C16FD70" w14:textId="7D284A50" w:rsidR="00CF3957" w:rsidRPr="003B30B6" w:rsidRDefault="00CF3957" w:rsidP="00CF3957">
      <w:pPr>
        <w:jc w:val="both"/>
      </w:pPr>
      <w:r w:rsidRPr="00B852EF">
        <w:t xml:space="preserve">Iznosi navedeni u Obrascu RAS-funkcijski odgovaraju ukupno iskazanim rashodima u Obrascu PR-RAS na </w:t>
      </w:r>
      <w:r>
        <w:t xml:space="preserve">šifri </w:t>
      </w:r>
      <w:r w:rsidRPr="00CF3957">
        <w:rPr>
          <w:i/>
        </w:rPr>
        <w:t>3</w:t>
      </w:r>
      <w:r w:rsidRPr="00B852EF">
        <w:t xml:space="preserve"> </w:t>
      </w:r>
      <w:r w:rsidRPr="00B852EF">
        <w:rPr>
          <w:i/>
        </w:rPr>
        <w:t>Rashodi poslovanja</w:t>
      </w:r>
      <w:r w:rsidRPr="00B852EF">
        <w:t xml:space="preserve">, umanjenom za iznos na </w:t>
      </w:r>
      <w:r>
        <w:t xml:space="preserve">šifri </w:t>
      </w:r>
      <w:r w:rsidRPr="00CF3957">
        <w:rPr>
          <w:i/>
        </w:rPr>
        <w:t xml:space="preserve">367 </w:t>
      </w:r>
      <w:r w:rsidRPr="00B852EF">
        <w:rPr>
          <w:i/>
        </w:rPr>
        <w:t>Prijenosi proračunskim korisnicima iz nadležnog proračuna za financiranje redovne djelatnosti</w:t>
      </w:r>
      <w:r w:rsidRPr="00B852EF">
        <w:t xml:space="preserve">, i </w:t>
      </w:r>
      <w:r>
        <w:t xml:space="preserve">šifri </w:t>
      </w:r>
      <w:r w:rsidRPr="00CF3957">
        <w:rPr>
          <w:i/>
        </w:rPr>
        <w:t xml:space="preserve">4 </w:t>
      </w:r>
      <w:r w:rsidRPr="00B852EF">
        <w:rPr>
          <w:i/>
        </w:rPr>
        <w:t>Rashodi za nabavu nefinancijske imovine</w:t>
      </w:r>
      <w:r w:rsidRPr="00B852EF">
        <w:t xml:space="preserve">. Iznos rashoda državnog proračuna iskazan u okviru podskupine 367 </w:t>
      </w:r>
      <w:r w:rsidRPr="00B852EF">
        <w:rPr>
          <w:i/>
        </w:rPr>
        <w:t>Prijenosi proračunskim korisnicima iz nadležnog proračuna za financiranje redovne djelatnosti</w:t>
      </w:r>
      <w:r>
        <w:t xml:space="preserve"> </w:t>
      </w:r>
      <w:r w:rsidRPr="00B852EF">
        <w:t>ne iskazuje se u Izvještaju o rashodima prema funkcijskoj klasifikaciji državnog proračuna s obzirom na to da je iskazan u izvještajima proračunskih korisnika o rashodima prema funkcijskoj klasifikaciji.</w:t>
      </w:r>
    </w:p>
    <w:p w14:paraId="1905B6B0" w14:textId="77777777" w:rsidR="00CF3957" w:rsidRPr="003B30B6" w:rsidRDefault="00CF3957" w:rsidP="00CF3957">
      <w:pPr>
        <w:jc w:val="both"/>
      </w:pPr>
    </w:p>
    <w:p w14:paraId="0B3E414D" w14:textId="77777777" w:rsidR="00CF3957" w:rsidRPr="003B30B6" w:rsidRDefault="00CF3957" w:rsidP="00CF3957">
      <w:pPr>
        <w:jc w:val="both"/>
      </w:pPr>
    </w:p>
    <w:p w14:paraId="6E5BE5C3" w14:textId="77777777" w:rsidR="00CF3957" w:rsidRPr="003B30B6" w:rsidRDefault="00CF3957" w:rsidP="00CF3957">
      <w:pPr>
        <w:jc w:val="both"/>
      </w:pPr>
    </w:p>
    <w:p w14:paraId="568A4BEC" w14:textId="77777777" w:rsidR="00CF3957" w:rsidRDefault="00CF3957" w:rsidP="00CF3957">
      <w:pPr>
        <w:jc w:val="both"/>
      </w:pPr>
    </w:p>
    <w:p w14:paraId="128F6DBC" w14:textId="77777777" w:rsidR="00CF3957" w:rsidRDefault="00CF3957" w:rsidP="00CF3957">
      <w:pPr>
        <w:jc w:val="both"/>
      </w:pPr>
    </w:p>
    <w:p w14:paraId="23718656" w14:textId="77777777" w:rsidR="00CF3957" w:rsidRDefault="00CF3957" w:rsidP="00CF3957">
      <w:pPr>
        <w:jc w:val="both"/>
      </w:pPr>
    </w:p>
    <w:p w14:paraId="553B5E31" w14:textId="77777777" w:rsidR="00CF3957" w:rsidRDefault="00CF3957" w:rsidP="00CF3957">
      <w:pPr>
        <w:jc w:val="both"/>
      </w:pPr>
    </w:p>
    <w:p w14:paraId="61996C8B" w14:textId="77777777" w:rsidR="00CF3957" w:rsidRDefault="00CF3957" w:rsidP="00CF3957">
      <w:pPr>
        <w:jc w:val="both"/>
      </w:pPr>
    </w:p>
    <w:p w14:paraId="55E5FC2B" w14:textId="77777777" w:rsidR="00CF3957" w:rsidRDefault="00CF3957" w:rsidP="00CF3957">
      <w:pPr>
        <w:jc w:val="both"/>
      </w:pPr>
    </w:p>
    <w:p w14:paraId="7307D822" w14:textId="77777777" w:rsidR="00CF3957" w:rsidRDefault="00CF3957" w:rsidP="00CF3957">
      <w:pPr>
        <w:jc w:val="both"/>
      </w:pPr>
    </w:p>
    <w:p w14:paraId="0EFB7A61" w14:textId="77777777" w:rsidR="00CF3957" w:rsidRDefault="00CF3957" w:rsidP="00CF3957">
      <w:pPr>
        <w:jc w:val="both"/>
      </w:pPr>
    </w:p>
    <w:p w14:paraId="60928F9D" w14:textId="77777777" w:rsidR="00CF3957" w:rsidRDefault="00CF3957" w:rsidP="00CF3957">
      <w:pPr>
        <w:jc w:val="both"/>
      </w:pPr>
    </w:p>
    <w:p w14:paraId="719C5299" w14:textId="77777777" w:rsidR="00CF3957" w:rsidRDefault="00CF3957" w:rsidP="00CF3957">
      <w:pPr>
        <w:jc w:val="both"/>
      </w:pPr>
    </w:p>
    <w:p w14:paraId="1519AC40" w14:textId="77777777" w:rsidR="00CF3957" w:rsidRDefault="00CF3957" w:rsidP="00CF3957">
      <w:pPr>
        <w:jc w:val="both"/>
      </w:pPr>
    </w:p>
    <w:p w14:paraId="14F1BFAF" w14:textId="77777777" w:rsidR="00CF3957" w:rsidRDefault="00CF3957" w:rsidP="00CF3957">
      <w:pPr>
        <w:jc w:val="both"/>
      </w:pPr>
    </w:p>
    <w:p w14:paraId="19536B67" w14:textId="77777777" w:rsidR="00CF3957" w:rsidRDefault="00CF3957" w:rsidP="00CF3957">
      <w:pPr>
        <w:jc w:val="both"/>
      </w:pPr>
    </w:p>
    <w:p w14:paraId="304C0531" w14:textId="77777777" w:rsidR="00CF3957" w:rsidRDefault="00CF3957" w:rsidP="00CF3957">
      <w:pPr>
        <w:jc w:val="both"/>
      </w:pPr>
    </w:p>
    <w:p w14:paraId="6F6FFA2C" w14:textId="77777777" w:rsidR="00CF3957" w:rsidRDefault="00CF3957" w:rsidP="00CF3957">
      <w:pPr>
        <w:jc w:val="both"/>
      </w:pPr>
    </w:p>
    <w:p w14:paraId="35DD4DDD" w14:textId="77777777" w:rsidR="00CF3957" w:rsidRDefault="00CF3957" w:rsidP="00CF3957">
      <w:pPr>
        <w:jc w:val="both"/>
      </w:pPr>
    </w:p>
    <w:p w14:paraId="0600F613" w14:textId="77777777" w:rsidR="00CF3957" w:rsidRDefault="00CF3957" w:rsidP="00CF3957">
      <w:pPr>
        <w:jc w:val="both"/>
      </w:pPr>
    </w:p>
    <w:p w14:paraId="6DECE1C2" w14:textId="77777777" w:rsidR="00CF3957" w:rsidRDefault="00CF3957" w:rsidP="00CF3957">
      <w:pPr>
        <w:jc w:val="both"/>
      </w:pPr>
    </w:p>
    <w:p w14:paraId="339DCBC9" w14:textId="77777777" w:rsidR="00CF3957" w:rsidRDefault="00CF3957" w:rsidP="00CF3957">
      <w:pPr>
        <w:jc w:val="both"/>
      </w:pPr>
    </w:p>
    <w:p w14:paraId="479F9EAF" w14:textId="77777777" w:rsidR="00CF3957" w:rsidRDefault="00CF3957" w:rsidP="00CF3957">
      <w:pPr>
        <w:jc w:val="both"/>
      </w:pPr>
    </w:p>
    <w:p w14:paraId="5197700C" w14:textId="3E22F003" w:rsidR="00CF3957" w:rsidRPr="003B30B6" w:rsidRDefault="00CF3957" w:rsidP="00CF3957">
      <w:pPr>
        <w:jc w:val="both"/>
      </w:pPr>
      <w:r w:rsidRPr="003B30B6">
        <w:t xml:space="preserve">U Zagrebu, </w:t>
      </w:r>
      <w:r>
        <w:t>28. veljače 2023.</w:t>
      </w:r>
    </w:p>
    <w:p w14:paraId="39B25959" w14:textId="77777777" w:rsidR="00CF3957" w:rsidRPr="003B30B6" w:rsidRDefault="00CF3957" w:rsidP="00CF3957">
      <w:pPr>
        <w:jc w:val="both"/>
      </w:pPr>
    </w:p>
    <w:p w14:paraId="0A1A6EC5" w14:textId="77777777" w:rsidR="00CF3957" w:rsidRPr="003B30B6" w:rsidRDefault="00CF3957" w:rsidP="00CF3957">
      <w:pPr>
        <w:jc w:val="both"/>
      </w:pPr>
      <w:r w:rsidRPr="003B30B6">
        <w:t xml:space="preserve">Osoba za kontakt: </w:t>
      </w:r>
      <w:r>
        <w:t xml:space="preserve">Anita </w:t>
      </w:r>
      <w:proofErr w:type="spellStart"/>
      <w:r>
        <w:t>Šafarić</w:t>
      </w:r>
      <w:proofErr w:type="spellEnd"/>
    </w:p>
    <w:p w14:paraId="33184153" w14:textId="77777777" w:rsidR="00CF3957" w:rsidRPr="003B30B6" w:rsidRDefault="00CF3957" w:rsidP="00CF3957">
      <w:pPr>
        <w:jc w:val="both"/>
      </w:pPr>
      <w:r>
        <w:t>Telefon: 01/ 4591-143</w:t>
      </w:r>
    </w:p>
    <w:p w14:paraId="448EEB1D" w14:textId="77777777" w:rsidR="00CF3957" w:rsidRPr="003B30B6" w:rsidRDefault="00CF3957" w:rsidP="00CF3957">
      <w:pPr>
        <w:jc w:val="both"/>
      </w:pPr>
    </w:p>
    <w:p w14:paraId="39DE88D5" w14:textId="77777777" w:rsidR="00CF3957" w:rsidRPr="003B30B6" w:rsidRDefault="00CF3957" w:rsidP="00CF3957">
      <w:pPr>
        <w:jc w:val="both"/>
      </w:pPr>
    </w:p>
    <w:p w14:paraId="2934304B" w14:textId="77777777" w:rsidR="00CF3957" w:rsidRPr="003B30B6" w:rsidRDefault="00CF3957" w:rsidP="00CF3957">
      <w:pPr>
        <w:jc w:val="both"/>
      </w:pPr>
    </w:p>
    <w:p w14:paraId="522D69B6" w14:textId="68490345" w:rsidR="00CF3957" w:rsidRPr="003B30B6" w:rsidRDefault="00CF3957" w:rsidP="00CF3957">
      <w:pPr>
        <w:ind w:left="4253"/>
        <w:jc w:val="center"/>
        <w:rPr>
          <w:b/>
        </w:rPr>
      </w:pPr>
      <w:r w:rsidRPr="003B30B6">
        <w:rPr>
          <w:b/>
        </w:rPr>
        <w:t>MINISTAR FINANCIJA</w:t>
      </w:r>
    </w:p>
    <w:p w14:paraId="333D5B5C" w14:textId="77777777" w:rsidR="00CF3957" w:rsidRPr="003B30B6" w:rsidRDefault="00CF3957" w:rsidP="00CF3957">
      <w:pPr>
        <w:jc w:val="center"/>
        <w:rPr>
          <w:sz w:val="28"/>
          <w:szCs w:val="28"/>
        </w:rPr>
      </w:pPr>
    </w:p>
    <w:p w14:paraId="53E6B602" w14:textId="77777777" w:rsidR="00CF3957" w:rsidRPr="003B30B6" w:rsidRDefault="00CF3957" w:rsidP="00CF3957">
      <w:pPr>
        <w:rPr>
          <w:sz w:val="28"/>
          <w:szCs w:val="28"/>
        </w:rPr>
      </w:pPr>
    </w:p>
    <w:p w14:paraId="56131834" w14:textId="2C9436D4" w:rsidR="00CF3957" w:rsidRPr="00CF3957" w:rsidRDefault="00CF3957" w:rsidP="00CF3957">
      <w:pPr>
        <w:ind w:left="4253"/>
        <w:jc w:val="center"/>
        <w:rPr>
          <w:szCs w:val="20"/>
        </w:rPr>
      </w:pPr>
      <w:r w:rsidRPr="00CF3957">
        <w:rPr>
          <w:b/>
        </w:rPr>
        <w:t xml:space="preserve">dr. </w:t>
      </w:r>
      <w:proofErr w:type="spellStart"/>
      <w:r w:rsidRPr="00CF3957">
        <w:rPr>
          <w:b/>
        </w:rPr>
        <w:t>sc</w:t>
      </w:r>
      <w:proofErr w:type="spellEnd"/>
      <w:r w:rsidRPr="00CF3957">
        <w:rPr>
          <w:b/>
        </w:rPr>
        <w:t>. Marko Primorac</w:t>
      </w:r>
    </w:p>
    <w:sectPr w:rsidR="00CF3957" w:rsidRPr="00CF3957" w:rsidSect="009D38D9">
      <w:footerReference w:type="even" r:id="rId8"/>
      <w:footerReference w:type="default" r:id="rId9"/>
      <w:pgSz w:w="11906" w:h="16838"/>
      <w:pgMar w:top="1258" w:right="110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F503" w14:textId="77777777" w:rsidR="002A7CFB" w:rsidRDefault="002A7CFB">
      <w:r>
        <w:separator/>
      </w:r>
    </w:p>
  </w:endnote>
  <w:endnote w:type="continuationSeparator" w:id="0">
    <w:p w14:paraId="049EBFA1" w14:textId="77777777" w:rsidR="002A7CFB" w:rsidRDefault="002A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CA84" w14:textId="77777777" w:rsidR="002A7CFB" w:rsidRDefault="002A7CFB" w:rsidP="00BB7EF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9E8F63C" w14:textId="77777777" w:rsidR="002A7CFB" w:rsidRDefault="002A7CFB" w:rsidP="006C129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880C" w14:textId="39937117" w:rsidR="002A7CFB" w:rsidRDefault="002A7CFB" w:rsidP="00BB7EF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B6AE3">
      <w:rPr>
        <w:rStyle w:val="Brojstranice"/>
        <w:noProof/>
      </w:rPr>
      <w:t>51</w:t>
    </w:r>
    <w:r>
      <w:rPr>
        <w:rStyle w:val="Brojstranice"/>
      </w:rPr>
      <w:fldChar w:fldCharType="end"/>
    </w:r>
  </w:p>
  <w:p w14:paraId="620D31DD" w14:textId="77777777" w:rsidR="002A7CFB" w:rsidRDefault="002A7CFB" w:rsidP="006C129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98F59" w14:textId="77777777" w:rsidR="002A7CFB" w:rsidRDefault="002A7CFB">
      <w:r>
        <w:separator/>
      </w:r>
    </w:p>
  </w:footnote>
  <w:footnote w:type="continuationSeparator" w:id="0">
    <w:p w14:paraId="3D7BD919" w14:textId="77777777" w:rsidR="002A7CFB" w:rsidRDefault="002A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5B8"/>
    <w:multiLevelType w:val="hybridMultilevel"/>
    <w:tmpl w:val="9D08C8C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C7304"/>
    <w:multiLevelType w:val="hybridMultilevel"/>
    <w:tmpl w:val="6F14DEBA"/>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890FE1"/>
    <w:multiLevelType w:val="hybridMultilevel"/>
    <w:tmpl w:val="47C4BE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E11F4F"/>
    <w:multiLevelType w:val="hybridMultilevel"/>
    <w:tmpl w:val="A4806116"/>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750138"/>
    <w:multiLevelType w:val="hybridMultilevel"/>
    <w:tmpl w:val="460A4D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856756"/>
    <w:multiLevelType w:val="hybridMultilevel"/>
    <w:tmpl w:val="2A1E0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B911FA"/>
    <w:multiLevelType w:val="hybridMultilevel"/>
    <w:tmpl w:val="A920B396"/>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0972DB"/>
    <w:multiLevelType w:val="hybridMultilevel"/>
    <w:tmpl w:val="216A3B8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05193"/>
    <w:multiLevelType w:val="hybridMultilevel"/>
    <w:tmpl w:val="716A87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BF37E5"/>
    <w:multiLevelType w:val="hybridMultilevel"/>
    <w:tmpl w:val="2AB0E6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2C76EF"/>
    <w:multiLevelType w:val="hybridMultilevel"/>
    <w:tmpl w:val="94FACBCA"/>
    <w:lvl w:ilvl="0" w:tplc="822C6858">
      <w:start w:val="1"/>
      <w:numFmt w:val="lowerLetter"/>
      <w:lvlText w:val="%1."/>
      <w:lvlJc w:val="left"/>
      <w:pPr>
        <w:ind w:left="709" w:firstLine="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1CDC5584"/>
    <w:multiLevelType w:val="hybridMultilevel"/>
    <w:tmpl w:val="C2C4917E"/>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6C0613"/>
    <w:multiLevelType w:val="hybridMultilevel"/>
    <w:tmpl w:val="4AE6B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4431F6"/>
    <w:multiLevelType w:val="hybridMultilevel"/>
    <w:tmpl w:val="E5BCE548"/>
    <w:lvl w:ilvl="0" w:tplc="041A0019">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4" w15:restartNumberingAfterBreak="0">
    <w:nsid w:val="2ABE0350"/>
    <w:multiLevelType w:val="hybridMultilevel"/>
    <w:tmpl w:val="65E0DD46"/>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FE5A61"/>
    <w:multiLevelType w:val="hybridMultilevel"/>
    <w:tmpl w:val="2F6EF0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A210C"/>
    <w:multiLevelType w:val="hybridMultilevel"/>
    <w:tmpl w:val="01B0F57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091FDA"/>
    <w:multiLevelType w:val="hybridMultilevel"/>
    <w:tmpl w:val="702CD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5C3D97"/>
    <w:multiLevelType w:val="hybridMultilevel"/>
    <w:tmpl w:val="2F1E08BE"/>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CC3354"/>
    <w:multiLevelType w:val="hybridMultilevel"/>
    <w:tmpl w:val="460A4D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D070265"/>
    <w:multiLevelType w:val="hybridMultilevel"/>
    <w:tmpl w:val="16F408B0"/>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685016"/>
    <w:multiLevelType w:val="hybridMultilevel"/>
    <w:tmpl w:val="55F62362"/>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5A1785"/>
    <w:multiLevelType w:val="hybridMultilevel"/>
    <w:tmpl w:val="F29A98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B20BF"/>
    <w:multiLevelType w:val="hybridMultilevel"/>
    <w:tmpl w:val="C9AE9F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62056D1"/>
    <w:multiLevelType w:val="hybridMultilevel"/>
    <w:tmpl w:val="6EECE6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F6B60A0"/>
    <w:multiLevelType w:val="hybridMultilevel"/>
    <w:tmpl w:val="2AA0ACD8"/>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1B349D8"/>
    <w:multiLevelType w:val="hybridMultilevel"/>
    <w:tmpl w:val="156081D4"/>
    <w:lvl w:ilvl="0" w:tplc="254E90B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E4128B"/>
    <w:multiLevelType w:val="hybridMultilevel"/>
    <w:tmpl w:val="CAB2BADE"/>
    <w:lvl w:ilvl="0" w:tplc="AFA0272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F9243C"/>
    <w:multiLevelType w:val="hybridMultilevel"/>
    <w:tmpl w:val="96CCB43A"/>
    <w:lvl w:ilvl="0" w:tplc="8E3E8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F441C1"/>
    <w:multiLevelType w:val="hybridMultilevel"/>
    <w:tmpl w:val="B590019E"/>
    <w:lvl w:ilvl="0" w:tplc="B1E8A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C2C1940"/>
    <w:multiLevelType w:val="hybridMultilevel"/>
    <w:tmpl w:val="EF32E1A8"/>
    <w:lvl w:ilvl="0" w:tplc="D98EAD1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F7C80"/>
    <w:multiLevelType w:val="hybridMultilevel"/>
    <w:tmpl w:val="BCF0E54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06E071D"/>
    <w:multiLevelType w:val="hybridMultilevel"/>
    <w:tmpl w:val="271E0A66"/>
    <w:lvl w:ilvl="0" w:tplc="94F87B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4F82CEE"/>
    <w:multiLevelType w:val="hybridMultilevel"/>
    <w:tmpl w:val="B972E594"/>
    <w:lvl w:ilvl="0" w:tplc="94F87B78">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4" w15:restartNumberingAfterBreak="0">
    <w:nsid w:val="75382939"/>
    <w:multiLevelType w:val="hybridMultilevel"/>
    <w:tmpl w:val="2EFE4D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BFA05F6"/>
    <w:multiLevelType w:val="hybridMultilevel"/>
    <w:tmpl w:val="B45221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7D7588"/>
    <w:multiLevelType w:val="hybridMultilevel"/>
    <w:tmpl w:val="47364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FE25610"/>
    <w:multiLevelType w:val="hybridMultilevel"/>
    <w:tmpl w:val="07EC43D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37"/>
  </w:num>
  <w:num w:numId="4">
    <w:abstractNumId w:val="15"/>
  </w:num>
  <w:num w:numId="5">
    <w:abstractNumId w:val="0"/>
  </w:num>
  <w:num w:numId="6">
    <w:abstractNumId w:val="7"/>
  </w:num>
  <w:num w:numId="7">
    <w:abstractNumId w:val="23"/>
  </w:num>
  <w:num w:numId="8">
    <w:abstractNumId w:val="2"/>
  </w:num>
  <w:num w:numId="9">
    <w:abstractNumId w:val="24"/>
  </w:num>
  <w:num w:numId="10">
    <w:abstractNumId w:val="35"/>
  </w:num>
  <w:num w:numId="11">
    <w:abstractNumId w:val="14"/>
  </w:num>
  <w:num w:numId="12">
    <w:abstractNumId w:val="18"/>
  </w:num>
  <w:num w:numId="13">
    <w:abstractNumId w:val="3"/>
  </w:num>
  <w:num w:numId="14">
    <w:abstractNumId w:val="6"/>
  </w:num>
  <w:num w:numId="15">
    <w:abstractNumId w:val="33"/>
  </w:num>
  <w:num w:numId="16">
    <w:abstractNumId w:val="20"/>
  </w:num>
  <w:num w:numId="17">
    <w:abstractNumId w:val="13"/>
  </w:num>
  <w:num w:numId="18">
    <w:abstractNumId w:val="10"/>
  </w:num>
  <w:num w:numId="19">
    <w:abstractNumId w:val="32"/>
  </w:num>
  <w:num w:numId="20">
    <w:abstractNumId w:val="21"/>
  </w:num>
  <w:num w:numId="21">
    <w:abstractNumId w:val="12"/>
  </w:num>
  <w:num w:numId="22">
    <w:abstractNumId w:val="28"/>
  </w:num>
  <w:num w:numId="23">
    <w:abstractNumId w:val="31"/>
  </w:num>
  <w:num w:numId="24">
    <w:abstractNumId w:val="8"/>
  </w:num>
  <w:num w:numId="25">
    <w:abstractNumId w:val="4"/>
  </w:num>
  <w:num w:numId="26">
    <w:abstractNumId w:val="26"/>
  </w:num>
  <w:num w:numId="27">
    <w:abstractNumId w:val="19"/>
  </w:num>
  <w:num w:numId="28">
    <w:abstractNumId w:val="9"/>
  </w:num>
  <w:num w:numId="29">
    <w:abstractNumId w:val="11"/>
  </w:num>
  <w:num w:numId="30">
    <w:abstractNumId w:val="25"/>
  </w:num>
  <w:num w:numId="31">
    <w:abstractNumId w:val="29"/>
  </w:num>
  <w:num w:numId="32">
    <w:abstractNumId w:val="1"/>
  </w:num>
  <w:num w:numId="33">
    <w:abstractNumId w:val="5"/>
  </w:num>
  <w:num w:numId="34">
    <w:abstractNumId w:val="16"/>
  </w:num>
  <w:num w:numId="35">
    <w:abstractNumId w:val="17"/>
  </w:num>
  <w:num w:numId="36">
    <w:abstractNumId w:val="34"/>
  </w:num>
  <w:num w:numId="37">
    <w:abstractNumId w:val="36"/>
  </w:num>
  <w:num w:numId="3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2A"/>
    <w:rsid w:val="000003A0"/>
    <w:rsid w:val="00001CE7"/>
    <w:rsid w:val="00002EAE"/>
    <w:rsid w:val="000037B4"/>
    <w:rsid w:val="00004202"/>
    <w:rsid w:val="00004BC7"/>
    <w:rsid w:val="00004C08"/>
    <w:rsid w:val="00005147"/>
    <w:rsid w:val="00005934"/>
    <w:rsid w:val="00010162"/>
    <w:rsid w:val="00010764"/>
    <w:rsid w:val="0001234C"/>
    <w:rsid w:val="00013B6C"/>
    <w:rsid w:val="00014278"/>
    <w:rsid w:val="000145E6"/>
    <w:rsid w:val="00016F96"/>
    <w:rsid w:val="00020843"/>
    <w:rsid w:val="00020AE6"/>
    <w:rsid w:val="000214F8"/>
    <w:rsid w:val="00021B5B"/>
    <w:rsid w:val="00023161"/>
    <w:rsid w:val="000234E6"/>
    <w:rsid w:val="00023BDC"/>
    <w:rsid w:val="0002499F"/>
    <w:rsid w:val="00026487"/>
    <w:rsid w:val="00027884"/>
    <w:rsid w:val="00030229"/>
    <w:rsid w:val="000305A0"/>
    <w:rsid w:val="00030923"/>
    <w:rsid w:val="00030B7C"/>
    <w:rsid w:val="00031071"/>
    <w:rsid w:val="00031BF0"/>
    <w:rsid w:val="00031FFB"/>
    <w:rsid w:val="00035163"/>
    <w:rsid w:val="000351AF"/>
    <w:rsid w:val="000351BB"/>
    <w:rsid w:val="00035790"/>
    <w:rsid w:val="00036191"/>
    <w:rsid w:val="00036CA2"/>
    <w:rsid w:val="000406AC"/>
    <w:rsid w:val="000410ED"/>
    <w:rsid w:val="00046613"/>
    <w:rsid w:val="00046AF8"/>
    <w:rsid w:val="000506C9"/>
    <w:rsid w:val="000518A4"/>
    <w:rsid w:val="0005505F"/>
    <w:rsid w:val="000550D6"/>
    <w:rsid w:val="000555AF"/>
    <w:rsid w:val="000563A2"/>
    <w:rsid w:val="00056879"/>
    <w:rsid w:val="00057DB3"/>
    <w:rsid w:val="00057EC3"/>
    <w:rsid w:val="00060E6C"/>
    <w:rsid w:val="000619E5"/>
    <w:rsid w:val="0006270D"/>
    <w:rsid w:val="00064340"/>
    <w:rsid w:val="00064D21"/>
    <w:rsid w:val="00067276"/>
    <w:rsid w:val="00067854"/>
    <w:rsid w:val="00067FD6"/>
    <w:rsid w:val="0007053A"/>
    <w:rsid w:val="00070FE0"/>
    <w:rsid w:val="00071726"/>
    <w:rsid w:val="0007384F"/>
    <w:rsid w:val="00073A73"/>
    <w:rsid w:val="0007469E"/>
    <w:rsid w:val="00075348"/>
    <w:rsid w:val="0007686B"/>
    <w:rsid w:val="000801AE"/>
    <w:rsid w:val="0008068C"/>
    <w:rsid w:val="00081D40"/>
    <w:rsid w:val="0008217A"/>
    <w:rsid w:val="00082B26"/>
    <w:rsid w:val="00083538"/>
    <w:rsid w:val="000836D2"/>
    <w:rsid w:val="00083979"/>
    <w:rsid w:val="00083DB5"/>
    <w:rsid w:val="00084FD4"/>
    <w:rsid w:val="00086647"/>
    <w:rsid w:val="00086A4C"/>
    <w:rsid w:val="00086C57"/>
    <w:rsid w:val="00087198"/>
    <w:rsid w:val="00090F03"/>
    <w:rsid w:val="00091E21"/>
    <w:rsid w:val="00092927"/>
    <w:rsid w:val="0009308D"/>
    <w:rsid w:val="00093986"/>
    <w:rsid w:val="000939E7"/>
    <w:rsid w:val="000944AF"/>
    <w:rsid w:val="00094FC6"/>
    <w:rsid w:val="0009640B"/>
    <w:rsid w:val="00097EE3"/>
    <w:rsid w:val="00097F52"/>
    <w:rsid w:val="000A085F"/>
    <w:rsid w:val="000A0E42"/>
    <w:rsid w:val="000A1386"/>
    <w:rsid w:val="000A1BF1"/>
    <w:rsid w:val="000A4B43"/>
    <w:rsid w:val="000A4C6F"/>
    <w:rsid w:val="000A5496"/>
    <w:rsid w:val="000B0C67"/>
    <w:rsid w:val="000B204F"/>
    <w:rsid w:val="000B22BA"/>
    <w:rsid w:val="000B32A4"/>
    <w:rsid w:val="000B410A"/>
    <w:rsid w:val="000B5C25"/>
    <w:rsid w:val="000B65FC"/>
    <w:rsid w:val="000B6D48"/>
    <w:rsid w:val="000B70A3"/>
    <w:rsid w:val="000C34A3"/>
    <w:rsid w:val="000C38DB"/>
    <w:rsid w:val="000C4E91"/>
    <w:rsid w:val="000C5275"/>
    <w:rsid w:val="000C6CA5"/>
    <w:rsid w:val="000C6F9F"/>
    <w:rsid w:val="000D0690"/>
    <w:rsid w:val="000D0A10"/>
    <w:rsid w:val="000D0AF4"/>
    <w:rsid w:val="000D2017"/>
    <w:rsid w:val="000D2171"/>
    <w:rsid w:val="000D28C7"/>
    <w:rsid w:val="000D2A53"/>
    <w:rsid w:val="000D3951"/>
    <w:rsid w:val="000D4CA6"/>
    <w:rsid w:val="000E163B"/>
    <w:rsid w:val="000E1797"/>
    <w:rsid w:val="000E2361"/>
    <w:rsid w:val="000E3067"/>
    <w:rsid w:val="000E333C"/>
    <w:rsid w:val="000E3615"/>
    <w:rsid w:val="000E39C4"/>
    <w:rsid w:val="000E5702"/>
    <w:rsid w:val="000E70A8"/>
    <w:rsid w:val="000E7347"/>
    <w:rsid w:val="000E7B1B"/>
    <w:rsid w:val="000E7C40"/>
    <w:rsid w:val="000F16E9"/>
    <w:rsid w:val="000F31A5"/>
    <w:rsid w:val="000F359D"/>
    <w:rsid w:val="000F406D"/>
    <w:rsid w:val="000F4A8F"/>
    <w:rsid w:val="000F4B57"/>
    <w:rsid w:val="000F53C4"/>
    <w:rsid w:val="000F66C7"/>
    <w:rsid w:val="000F6AEA"/>
    <w:rsid w:val="0010018E"/>
    <w:rsid w:val="00100BCF"/>
    <w:rsid w:val="00100CF5"/>
    <w:rsid w:val="00102A63"/>
    <w:rsid w:val="00105025"/>
    <w:rsid w:val="001054DB"/>
    <w:rsid w:val="001072F8"/>
    <w:rsid w:val="001109D4"/>
    <w:rsid w:val="00111D3B"/>
    <w:rsid w:val="001125E5"/>
    <w:rsid w:val="00113EB5"/>
    <w:rsid w:val="001150A4"/>
    <w:rsid w:val="001151AA"/>
    <w:rsid w:val="001172D7"/>
    <w:rsid w:val="001177A6"/>
    <w:rsid w:val="00117F1C"/>
    <w:rsid w:val="001207A5"/>
    <w:rsid w:val="00120A22"/>
    <w:rsid w:val="00120B07"/>
    <w:rsid w:val="0012181C"/>
    <w:rsid w:val="00122380"/>
    <w:rsid w:val="00122765"/>
    <w:rsid w:val="00124283"/>
    <w:rsid w:val="00124A9F"/>
    <w:rsid w:val="00125307"/>
    <w:rsid w:val="00125661"/>
    <w:rsid w:val="00125982"/>
    <w:rsid w:val="00125B7F"/>
    <w:rsid w:val="00126A6E"/>
    <w:rsid w:val="001274C0"/>
    <w:rsid w:val="00130F77"/>
    <w:rsid w:val="00131438"/>
    <w:rsid w:val="001318CB"/>
    <w:rsid w:val="00133C1A"/>
    <w:rsid w:val="0013508A"/>
    <w:rsid w:val="00135A8C"/>
    <w:rsid w:val="001374FB"/>
    <w:rsid w:val="001400FB"/>
    <w:rsid w:val="001406BC"/>
    <w:rsid w:val="001433CA"/>
    <w:rsid w:val="00143F25"/>
    <w:rsid w:val="00144773"/>
    <w:rsid w:val="00145346"/>
    <w:rsid w:val="001454FD"/>
    <w:rsid w:val="00145C9B"/>
    <w:rsid w:val="0014715C"/>
    <w:rsid w:val="001476EF"/>
    <w:rsid w:val="001507FB"/>
    <w:rsid w:val="00151721"/>
    <w:rsid w:val="00152AE3"/>
    <w:rsid w:val="00152DFD"/>
    <w:rsid w:val="00153183"/>
    <w:rsid w:val="001567F1"/>
    <w:rsid w:val="00157977"/>
    <w:rsid w:val="00160316"/>
    <w:rsid w:val="00161224"/>
    <w:rsid w:val="001619A8"/>
    <w:rsid w:val="001629F6"/>
    <w:rsid w:val="00162B15"/>
    <w:rsid w:val="00162FB0"/>
    <w:rsid w:val="0016321D"/>
    <w:rsid w:val="00163A0E"/>
    <w:rsid w:val="00166566"/>
    <w:rsid w:val="00167498"/>
    <w:rsid w:val="00175431"/>
    <w:rsid w:val="00175EBA"/>
    <w:rsid w:val="00176642"/>
    <w:rsid w:val="00176F1C"/>
    <w:rsid w:val="0017740C"/>
    <w:rsid w:val="00177DF6"/>
    <w:rsid w:val="001828BC"/>
    <w:rsid w:val="00185BA2"/>
    <w:rsid w:val="0018630A"/>
    <w:rsid w:val="00187157"/>
    <w:rsid w:val="00190EA0"/>
    <w:rsid w:val="00191796"/>
    <w:rsid w:val="00192CA0"/>
    <w:rsid w:val="00192F2B"/>
    <w:rsid w:val="00192F9A"/>
    <w:rsid w:val="00194C3B"/>
    <w:rsid w:val="00194C9F"/>
    <w:rsid w:val="00195027"/>
    <w:rsid w:val="00195290"/>
    <w:rsid w:val="00196058"/>
    <w:rsid w:val="0019663F"/>
    <w:rsid w:val="001A0D45"/>
    <w:rsid w:val="001A32D4"/>
    <w:rsid w:val="001A4334"/>
    <w:rsid w:val="001A47E2"/>
    <w:rsid w:val="001A6449"/>
    <w:rsid w:val="001A730A"/>
    <w:rsid w:val="001B078E"/>
    <w:rsid w:val="001B0EC3"/>
    <w:rsid w:val="001B16A9"/>
    <w:rsid w:val="001B19D2"/>
    <w:rsid w:val="001B237A"/>
    <w:rsid w:val="001B3A47"/>
    <w:rsid w:val="001B4095"/>
    <w:rsid w:val="001B4866"/>
    <w:rsid w:val="001B4A36"/>
    <w:rsid w:val="001B5434"/>
    <w:rsid w:val="001B5CCB"/>
    <w:rsid w:val="001C064F"/>
    <w:rsid w:val="001C08AD"/>
    <w:rsid w:val="001C28AC"/>
    <w:rsid w:val="001C3D17"/>
    <w:rsid w:val="001C41DF"/>
    <w:rsid w:val="001C5C59"/>
    <w:rsid w:val="001C6FD5"/>
    <w:rsid w:val="001C7539"/>
    <w:rsid w:val="001D0C5E"/>
    <w:rsid w:val="001D1663"/>
    <w:rsid w:val="001D1ACA"/>
    <w:rsid w:val="001D316B"/>
    <w:rsid w:val="001D53A9"/>
    <w:rsid w:val="001D5476"/>
    <w:rsid w:val="001D5763"/>
    <w:rsid w:val="001D57E9"/>
    <w:rsid w:val="001D6B44"/>
    <w:rsid w:val="001D7299"/>
    <w:rsid w:val="001E0265"/>
    <w:rsid w:val="001E054B"/>
    <w:rsid w:val="001E1797"/>
    <w:rsid w:val="001E2625"/>
    <w:rsid w:val="001E3415"/>
    <w:rsid w:val="001E34CC"/>
    <w:rsid w:val="001E3891"/>
    <w:rsid w:val="001E4FD1"/>
    <w:rsid w:val="001E5544"/>
    <w:rsid w:val="001E63EE"/>
    <w:rsid w:val="001E71E3"/>
    <w:rsid w:val="001E7620"/>
    <w:rsid w:val="001E7C96"/>
    <w:rsid w:val="001F17AB"/>
    <w:rsid w:val="001F1CEA"/>
    <w:rsid w:val="001F1E35"/>
    <w:rsid w:val="001F222E"/>
    <w:rsid w:val="001F4272"/>
    <w:rsid w:val="001F427B"/>
    <w:rsid w:val="001F4340"/>
    <w:rsid w:val="001F4E2B"/>
    <w:rsid w:val="001F5674"/>
    <w:rsid w:val="001F60AF"/>
    <w:rsid w:val="001F65D0"/>
    <w:rsid w:val="00200824"/>
    <w:rsid w:val="0020139E"/>
    <w:rsid w:val="00203E70"/>
    <w:rsid w:val="00204952"/>
    <w:rsid w:val="00204A72"/>
    <w:rsid w:val="00205963"/>
    <w:rsid w:val="00205DDC"/>
    <w:rsid w:val="00210A58"/>
    <w:rsid w:val="00210B2D"/>
    <w:rsid w:val="002117E1"/>
    <w:rsid w:val="00211BA2"/>
    <w:rsid w:val="00212455"/>
    <w:rsid w:val="00213B94"/>
    <w:rsid w:val="00214409"/>
    <w:rsid w:val="0021617F"/>
    <w:rsid w:val="00217165"/>
    <w:rsid w:val="00221A50"/>
    <w:rsid w:val="00222402"/>
    <w:rsid w:val="0022263F"/>
    <w:rsid w:val="00224D36"/>
    <w:rsid w:val="0022780A"/>
    <w:rsid w:val="0023062E"/>
    <w:rsid w:val="002366BE"/>
    <w:rsid w:val="00237246"/>
    <w:rsid w:val="00237B1A"/>
    <w:rsid w:val="00240C6B"/>
    <w:rsid w:val="00242152"/>
    <w:rsid w:val="00243358"/>
    <w:rsid w:val="0024454B"/>
    <w:rsid w:val="00244E30"/>
    <w:rsid w:val="00244E96"/>
    <w:rsid w:val="002454FD"/>
    <w:rsid w:val="0024553C"/>
    <w:rsid w:val="00245B8C"/>
    <w:rsid w:val="00246314"/>
    <w:rsid w:val="0024675D"/>
    <w:rsid w:val="00246FB4"/>
    <w:rsid w:val="00247784"/>
    <w:rsid w:val="00247841"/>
    <w:rsid w:val="00251970"/>
    <w:rsid w:val="00252AFC"/>
    <w:rsid w:val="00252E2D"/>
    <w:rsid w:val="00253216"/>
    <w:rsid w:val="0025375D"/>
    <w:rsid w:val="0025385C"/>
    <w:rsid w:val="0025462D"/>
    <w:rsid w:val="0025536F"/>
    <w:rsid w:val="002560E4"/>
    <w:rsid w:val="002605A6"/>
    <w:rsid w:val="00260ADB"/>
    <w:rsid w:val="00260B60"/>
    <w:rsid w:val="00260DCA"/>
    <w:rsid w:val="00261CC4"/>
    <w:rsid w:val="0026226D"/>
    <w:rsid w:val="0026238B"/>
    <w:rsid w:val="002626BD"/>
    <w:rsid w:val="00263CF8"/>
    <w:rsid w:val="0026414E"/>
    <w:rsid w:val="00264E28"/>
    <w:rsid w:val="00265949"/>
    <w:rsid w:val="002659F9"/>
    <w:rsid w:val="002666C3"/>
    <w:rsid w:val="00266B6F"/>
    <w:rsid w:val="0027093F"/>
    <w:rsid w:val="002726A4"/>
    <w:rsid w:val="00272BF9"/>
    <w:rsid w:val="0027361C"/>
    <w:rsid w:val="00275D16"/>
    <w:rsid w:val="0027660E"/>
    <w:rsid w:val="0028083F"/>
    <w:rsid w:val="0028094F"/>
    <w:rsid w:val="00281B3F"/>
    <w:rsid w:val="0028391E"/>
    <w:rsid w:val="00283B56"/>
    <w:rsid w:val="00285213"/>
    <w:rsid w:val="0028591C"/>
    <w:rsid w:val="00285AAF"/>
    <w:rsid w:val="002866E8"/>
    <w:rsid w:val="0028690C"/>
    <w:rsid w:val="00286F01"/>
    <w:rsid w:val="0029197B"/>
    <w:rsid w:val="002924E4"/>
    <w:rsid w:val="0029298E"/>
    <w:rsid w:val="002947E9"/>
    <w:rsid w:val="0029527B"/>
    <w:rsid w:val="002961A1"/>
    <w:rsid w:val="00296DB5"/>
    <w:rsid w:val="002A18AE"/>
    <w:rsid w:val="002A2873"/>
    <w:rsid w:val="002A2A57"/>
    <w:rsid w:val="002A3319"/>
    <w:rsid w:val="002A3FE7"/>
    <w:rsid w:val="002A4546"/>
    <w:rsid w:val="002A4796"/>
    <w:rsid w:val="002A5BB2"/>
    <w:rsid w:val="002A6A6C"/>
    <w:rsid w:val="002A7797"/>
    <w:rsid w:val="002A7CFB"/>
    <w:rsid w:val="002B15F7"/>
    <w:rsid w:val="002B16E2"/>
    <w:rsid w:val="002B2997"/>
    <w:rsid w:val="002B39CC"/>
    <w:rsid w:val="002B50DF"/>
    <w:rsid w:val="002B5E31"/>
    <w:rsid w:val="002C35F7"/>
    <w:rsid w:val="002C413B"/>
    <w:rsid w:val="002C445A"/>
    <w:rsid w:val="002C55AA"/>
    <w:rsid w:val="002C747F"/>
    <w:rsid w:val="002C7AEA"/>
    <w:rsid w:val="002C7FD0"/>
    <w:rsid w:val="002D07C6"/>
    <w:rsid w:val="002D0BB1"/>
    <w:rsid w:val="002D2C85"/>
    <w:rsid w:val="002D31F3"/>
    <w:rsid w:val="002D3CF6"/>
    <w:rsid w:val="002D6C92"/>
    <w:rsid w:val="002D767F"/>
    <w:rsid w:val="002D7B6A"/>
    <w:rsid w:val="002E0C36"/>
    <w:rsid w:val="002E0DB5"/>
    <w:rsid w:val="002E1A5E"/>
    <w:rsid w:val="002E1DB9"/>
    <w:rsid w:val="002E32F6"/>
    <w:rsid w:val="002E4886"/>
    <w:rsid w:val="002E7AB3"/>
    <w:rsid w:val="002F1199"/>
    <w:rsid w:val="002F1BD2"/>
    <w:rsid w:val="002F1FFE"/>
    <w:rsid w:val="002F2308"/>
    <w:rsid w:val="002F31C3"/>
    <w:rsid w:val="002F40B1"/>
    <w:rsid w:val="002F4C54"/>
    <w:rsid w:val="002F5014"/>
    <w:rsid w:val="002F5D98"/>
    <w:rsid w:val="0030082E"/>
    <w:rsid w:val="003015FD"/>
    <w:rsid w:val="003018DC"/>
    <w:rsid w:val="00301DA2"/>
    <w:rsid w:val="00302AE9"/>
    <w:rsid w:val="00303376"/>
    <w:rsid w:val="00304F01"/>
    <w:rsid w:val="0030503F"/>
    <w:rsid w:val="00305230"/>
    <w:rsid w:val="003058E1"/>
    <w:rsid w:val="00305A8C"/>
    <w:rsid w:val="00305BBF"/>
    <w:rsid w:val="00305FED"/>
    <w:rsid w:val="003067C5"/>
    <w:rsid w:val="0030723C"/>
    <w:rsid w:val="00310A35"/>
    <w:rsid w:val="00310EE2"/>
    <w:rsid w:val="00311088"/>
    <w:rsid w:val="00312FA3"/>
    <w:rsid w:val="0031427B"/>
    <w:rsid w:val="003152B3"/>
    <w:rsid w:val="00316399"/>
    <w:rsid w:val="00316860"/>
    <w:rsid w:val="00316EA1"/>
    <w:rsid w:val="00316F66"/>
    <w:rsid w:val="00316F86"/>
    <w:rsid w:val="003171D1"/>
    <w:rsid w:val="00317243"/>
    <w:rsid w:val="003177ED"/>
    <w:rsid w:val="003178AC"/>
    <w:rsid w:val="00321322"/>
    <w:rsid w:val="00321432"/>
    <w:rsid w:val="00322655"/>
    <w:rsid w:val="0032284B"/>
    <w:rsid w:val="00322E28"/>
    <w:rsid w:val="003240B1"/>
    <w:rsid w:val="00324EB5"/>
    <w:rsid w:val="00325766"/>
    <w:rsid w:val="003277C9"/>
    <w:rsid w:val="00330028"/>
    <w:rsid w:val="003311D4"/>
    <w:rsid w:val="0033212A"/>
    <w:rsid w:val="003354A2"/>
    <w:rsid w:val="00335645"/>
    <w:rsid w:val="00335BC4"/>
    <w:rsid w:val="0034082A"/>
    <w:rsid w:val="00340B64"/>
    <w:rsid w:val="00340E20"/>
    <w:rsid w:val="00341286"/>
    <w:rsid w:val="00343446"/>
    <w:rsid w:val="003444F6"/>
    <w:rsid w:val="00344A59"/>
    <w:rsid w:val="00346114"/>
    <w:rsid w:val="00346C21"/>
    <w:rsid w:val="00350BF7"/>
    <w:rsid w:val="00350E4C"/>
    <w:rsid w:val="00352037"/>
    <w:rsid w:val="003533A4"/>
    <w:rsid w:val="003534A1"/>
    <w:rsid w:val="00354D84"/>
    <w:rsid w:val="00357706"/>
    <w:rsid w:val="0036069A"/>
    <w:rsid w:val="00360ABF"/>
    <w:rsid w:val="00361BC7"/>
    <w:rsid w:val="00361CFF"/>
    <w:rsid w:val="00361E6A"/>
    <w:rsid w:val="003634B5"/>
    <w:rsid w:val="00363627"/>
    <w:rsid w:val="00363BF5"/>
    <w:rsid w:val="003643C0"/>
    <w:rsid w:val="00364802"/>
    <w:rsid w:val="00365241"/>
    <w:rsid w:val="00365369"/>
    <w:rsid w:val="00365902"/>
    <w:rsid w:val="00366034"/>
    <w:rsid w:val="00366F36"/>
    <w:rsid w:val="00367120"/>
    <w:rsid w:val="003737C1"/>
    <w:rsid w:val="00373A8E"/>
    <w:rsid w:val="003741E0"/>
    <w:rsid w:val="00374272"/>
    <w:rsid w:val="00374C76"/>
    <w:rsid w:val="0037530D"/>
    <w:rsid w:val="0037552A"/>
    <w:rsid w:val="00375DA8"/>
    <w:rsid w:val="00375E6F"/>
    <w:rsid w:val="00376208"/>
    <w:rsid w:val="00377864"/>
    <w:rsid w:val="00380A35"/>
    <w:rsid w:val="00380A94"/>
    <w:rsid w:val="00381B41"/>
    <w:rsid w:val="00381C5C"/>
    <w:rsid w:val="0038209F"/>
    <w:rsid w:val="003823E9"/>
    <w:rsid w:val="00384939"/>
    <w:rsid w:val="00384A12"/>
    <w:rsid w:val="00385399"/>
    <w:rsid w:val="00385AFF"/>
    <w:rsid w:val="003863E6"/>
    <w:rsid w:val="00386F65"/>
    <w:rsid w:val="003871E4"/>
    <w:rsid w:val="00390CFE"/>
    <w:rsid w:val="003931EC"/>
    <w:rsid w:val="00393497"/>
    <w:rsid w:val="00394FA2"/>
    <w:rsid w:val="00395852"/>
    <w:rsid w:val="00395AF4"/>
    <w:rsid w:val="00396015"/>
    <w:rsid w:val="0039627C"/>
    <w:rsid w:val="0039712F"/>
    <w:rsid w:val="003A06E4"/>
    <w:rsid w:val="003A25B6"/>
    <w:rsid w:val="003A2F55"/>
    <w:rsid w:val="003A42B3"/>
    <w:rsid w:val="003A5121"/>
    <w:rsid w:val="003A76D5"/>
    <w:rsid w:val="003A7705"/>
    <w:rsid w:val="003A7E07"/>
    <w:rsid w:val="003B1854"/>
    <w:rsid w:val="003B19DD"/>
    <w:rsid w:val="003B30B6"/>
    <w:rsid w:val="003B61FF"/>
    <w:rsid w:val="003B63E6"/>
    <w:rsid w:val="003B66DB"/>
    <w:rsid w:val="003B6950"/>
    <w:rsid w:val="003B704B"/>
    <w:rsid w:val="003B7EDB"/>
    <w:rsid w:val="003C1953"/>
    <w:rsid w:val="003C1DB1"/>
    <w:rsid w:val="003C306B"/>
    <w:rsid w:val="003C45EC"/>
    <w:rsid w:val="003C48FB"/>
    <w:rsid w:val="003C526E"/>
    <w:rsid w:val="003C55AB"/>
    <w:rsid w:val="003C5B0F"/>
    <w:rsid w:val="003C6299"/>
    <w:rsid w:val="003C629C"/>
    <w:rsid w:val="003C6882"/>
    <w:rsid w:val="003C7825"/>
    <w:rsid w:val="003D0F31"/>
    <w:rsid w:val="003D13F4"/>
    <w:rsid w:val="003D1A10"/>
    <w:rsid w:val="003D1CBA"/>
    <w:rsid w:val="003D3222"/>
    <w:rsid w:val="003D3CC3"/>
    <w:rsid w:val="003D4026"/>
    <w:rsid w:val="003D473D"/>
    <w:rsid w:val="003D546C"/>
    <w:rsid w:val="003D6346"/>
    <w:rsid w:val="003D6D4F"/>
    <w:rsid w:val="003D6EB3"/>
    <w:rsid w:val="003D7B51"/>
    <w:rsid w:val="003E021D"/>
    <w:rsid w:val="003E207F"/>
    <w:rsid w:val="003E31B7"/>
    <w:rsid w:val="003E5367"/>
    <w:rsid w:val="003F0029"/>
    <w:rsid w:val="003F0A54"/>
    <w:rsid w:val="003F21C2"/>
    <w:rsid w:val="003F392E"/>
    <w:rsid w:val="003F5334"/>
    <w:rsid w:val="003F5430"/>
    <w:rsid w:val="003F5817"/>
    <w:rsid w:val="003F5F05"/>
    <w:rsid w:val="003F6353"/>
    <w:rsid w:val="003F6839"/>
    <w:rsid w:val="003F6B05"/>
    <w:rsid w:val="003F75D0"/>
    <w:rsid w:val="00402A2C"/>
    <w:rsid w:val="00403226"/>
    <w:rsid w:val="00404B11"/>
    <w:rsid w:val="00406FC2"/>
    <w:rsid w:val="004105D2"/>
    <w:rsid w:val="0041206B"/>
    <w:rsid w:val="004127FA"/>
    <w:rsid w:val="00413DBB"/>
    <w:rsid w:val="00414AAF"/>
    <w:rsid w:val="004152D2"/>
    <w:rsid w:val="00417BEC"/>
    <w:rsid w:val="00420A21"/>
    <w:rsid w:val="00421367"/>
    <w:rsid w:val="00421387"/>
    <w:rsid w:val="004223A7"/>
    <w:rsid w:val="00422FDD"/>
    <w:rsid w:val="0042332D"/>
    <w:rsid w:val="0042346F"/>
    <w:rsid w:val="004234A4"/>
    <w:rsid w:val="00423A54"/>
    <w:rsid w:val="00424178"/>
    <w:rsid w:val="0042437D"/>
    <w:rsid w:val="00426796"/>
    <w:rsid w:val="00426E2A"/>
    <w:rsid w:val="00427BFD"/>
    <w:rsid w:val="004307AB"/>
    <w:rsid w:val="004319CB"/>
    <w:rsid w:val="00431C01"/>
    <w:rsid w:val="0043216F"/>
    <w:rsid w:val="00432363"/>
    <w:rsid w:val="00432370"/>
    <w:rsid w:val="004326AD"/>
    <w:rsid w:val="00434E88"/>
    <w:rsid w:val="0043597E"/>
    <w:rsid w:val="00436279"/>
    <w:rsid w:val="0043666A"/>
    <w:rsid w:val="004370AE"/>
    <w:rsid w:val="004375DD"/>
    <w:rsid w:val="00441656"/>
    <w:rsid w:val="00441755"/>
    <w:rsid w:val="00441980"/>
    <w:rsid w:val="00441D56"/>
    <w:rsid w:val="004423D5"/>
    <w:rsid w:val="004429FD"/>
    <w:rsid w:val="00443313"/>
    <w:rsid w:val="004435E5"/>
    <w:rsid w:val="00443BF7"/>
    <w:rsid w:val="00444235"/>
    <w:rsid w:val="00444CD2"/>
    <w:rsid w:val="004453B0"/>
    <w:rsid w:val="00445497"/>
    <w:rsid w:val="004455BA"/>
    <w:rsid w:val="00445E47"/>
    <w:rsid w:val="00446384"/>
    <w:rsid w:val="004475FD"/>
    <w:rsid w:val="00447DA0"/>
    <w:rsid w:val="00450404"/>
    <w:rsid w:val="004534DC"/>
    <w:rsid w:val="00455541"/>
    <w:rsid w:val="00460B2B"/>
    <w:rsid w:val="00460FBD"/>
    <w:rsid w:val="004616E5"/>
    <w:rsid w:val="00461CCD"/>
    <w:rsid w:val="00463C65"/>
    <w:rsid w:val="00464A05"/>
    <w:rsid w:val="00464C08"/>
    <w:rsid w:val="00466697"/>
    <w:rsid w:val="004672BB"/>
    <w:rsid w:val="00471259"/>
    <w:rsid w:val="00471556"/>
    <w:rsid w:val="00473AAF"/>
    <w:rsid w:val="00473B26"/>
    <w:rsid w:val="00474CAD"/>
    <w:rsid w:val="00474F34"/>
    <w:rsid w:val="00475783"/>
    <w:rsid w:val="00476098"/>
    <w:rsid w:val="004764C8"/>
    <w:rsid w:val="00476969"/>
    <w:rsid w:val="004806A0"/>
    <w:rsid w:val="004815AB"/>
    <w:rsid w:val="00481988"/>
    <w:rsid w:val="0048271A"/>
    <w:rsid w:val="00482C68"/>
    <w:rsid w:val="0048519D"/>
    <w:rsid w:val="004866E3"/>
    <w:rsid w:val="0049121E"/>
    <w:rsid w:val="00491AD6"/>
    <w:rsid w:val="00491D07"/>
    <w:rsid w:val="00492423"/>
    <w:rsid w:val="00496DF6"/>
    <w:rsid w:val="00496F1C"/>
    <w:rsid w:val="00497786"/>
    <w:rsid w:val="004978B5"/>
    <w:rsid w:val="00497E66"/>
    <w:rsid w:val="004A1775"/>
    <w:rsid w:val="004A1850"/>
    <w:rsid w:val="004A1862"/>
    <w:rsid w:val="004A2ABE"/>
    <w:rsid w:val="004A2C08"/>
    <w:rsid w:val="004A62D3"/>
    <w:rsid w:val="004A6CC2"/>
    <w:rsid w:val="004A72B0"/>
    <w:rsid w:val="004A738D"/>
    <w:rsid w:val="004A73A4"/>
    <w:rsid w:val="004A7B8B"/>
    <w:rsid w:val="004B05F6"/>
    <w:rsid w:val="004B234E"/>
    <w:rsid w:val="004B3C2C"/>
    <w:rsid w:val="004B45A1"/>
    <w:rsid w:val="004B4631"/>
    <w:rsid w:val="004B527B"/>
    <w:rsid w:val="004B5353"/>
    <w:rsid w:val="004B5C6E"/>
    <w:rsid w:val="004B7E7A"/>
    <w:rsid w:val="004C0252"/>
    <w:rsid w:val="004C05BE"/>
    <w:rsid w:val="004C1AA7"/>
    <w:rsid w:val="004C306A"/>
    <w:rsid w:val="004C3D4D"/>
    <w:rsid w:val="004C51E4"/>
    <w:rsid w:val="004C528C"/>
    <w:rsid w:val="004C566B"/>
    <w:rsid w:val="004C6C6A"/>
    <w:rsid w:val="004C752E"/>
    <w:rsid w:val="004C7CCF"/>
    <w:rsid w:val="004D2635"/>
    <w:rsid w:val="004D28EF"/>
    <w:rsid w:val="004D29A0"/>
    <w:rsid w:val="004D34F1"/>
    <w:rsid w:val="004D5CDF"/>
    <w:rsid w:val="004D63CE"/>
    <w:rsid w:val="004D6BAF"/>
    <w:rsid w:val="004D6E8C"/>
    <w:rsid w:val="004D75FC"/>
    <w:rsid w:val="004E1036"/>
    <w:rsid w:val="004E175F"/>
    <w:rsid w:val="004E21E0"/>
    <w:rsid w:val="004E2D53"/>
    <w:rsid w:val="004E4FD1"/>
    <w:rsid w:val="004E5EFB"/>
    <w:rsid w:val="004E68E2"/>
    <w:rsid w:val="004E6EC8"/>
    <w:rsid w:val="004E7029"/>
    <w:rsid w:val="004E7846"/>
    <w:rsid w:val="004E7DD9"/>
    <w:rsid w:val="004F0AB2"/>
    <w:rsid w:val="004F30AB"/>
    <w:rsid w:val="004F3573"/>
    <w:rsid w:val="004F38D5"/>
    <w:rsid w:val="004F4A15"/>
    <w:rsid w:val="004F663D"/>
    <w:rsid w:val="004F6F1B"/>
    <w:rsid w:val="004F729D"/>
    <w:rsid w:val="0050039D"/>
    <w:rsid w:val="005019C3"/>
    <w:rsid w:val="005029FD"/>
    <w:rsid w:val="00502C06"/>
    <w:rsid w:val="00502C36"/>
    <w:rsid w:val="00503005"/>
    <w:rsid w:val="005031EE"/>
    <w:rsid w:val="00504FD9"/>
    <w:rsid w:val="00505E1D"/>
    <w:rsid w:val="00506A68"/>
    <w:rsid w:val="005073BB"/>
    <w:rsid w:val="00510263"/>
    <w:rsid w:val="00511128"/>
    <w:rsid w:val="0051192A"/>
    <w:rsid w:val="00513389"/>
    <w:rsid w:val="0051370C"/>
    <w:rsid w:val="0051495D"/>
    <w:rsid w:val="00514F20"/>
    <w:rsid w:val="00515059"/>
    <w:rsid w:val="00515AAF"/>
    <w:rsid w:val="005164B8"/>
    <w:rsid w:val="00517166"/>
    <w:rsid w:val="0051757D"/>
    <w:rsid w:val="00517E1B"/>
    <w:rsid w:val="005204D0"/>
    <w:rsid w:val="00521A01"/>
    <w:rsid w:val="0052233B"/>
    <w:rsid w:val="005229AB"/>
    <w:rsid w:val="00524106"/>
    <w:rsid w:val="00524181"/>
    <w:rsid w:val="00524B18"/>
    <w:rsid w:val="00525251"/>
    <w:rsid w:val="00525B7B"/>
    <w:rsid w:val="00525E62"/>
    <w:rsid w:val="0053049B"/>
    <w:rsid w:val="005307BF"/>
    <w:rsid w:val="00532C18"/>
    <w:rsid w:val="00532E67"/>
    <w:rsid w:val="0053353D"/>
    <w:rsid w:val="00534485"/>
    <w:rsid w:val="005360EE"/>
    <w:rsid w:val="00536F4F"/>
    <w:rsid w:val="0053737B"/>
    <w:rsid w:val="00537AC3"/>
    <w:rsid w:val="00540283"/>
    <w:rsid w:val="0054130B"/>
    <w:rsid w:val="00541ED9"/>
    <w:rsid w:val="0054258C"/>
    <w:rsid w:val="00542FA6"/>
    <w:rsid w:val="00542FA7"/>
    <w:rsid w:val="00543D36"/>
    <w:rsid w:val="00544581"/>
    <w:rsid w:val="00545065"/>
    <w:rsid w:val="005456D7"/>
    <w:rsid w:val="00546ADE"/>
    <w:rsid w:val="00547206"/>
    <w:rsid w:val="0055091C"/>
    <w:rsid w:val="005512E5"/>
    <w:rsid w:val="00551B7F"/>
    <w:rsid w:val="00551F4F"/>
    <w:rsid w:val="00552CC4"/>
    <w:rsid w:val="00553757"/>
    <w:rsid w:val="005543A8"/>
    <w:rsid w:val="005549D2"/>
    <w:rsid w:val="00556A7A"/>
    <w:rsid w:val="00557D6C"/>
    <w:rsid w:val="0056103B"/>
    <w:rsid w:val="00561AB2"/>
    <w:rsid w:val="0056439D"/>
    <w:rsid w:val="005648C4"/>
    <w:rsid w:val="00565CE6"/>
    <w:rsid w:val="00567EE9"/>
    <w:rsid w:val="00570400"/>
    <w:rsid w:val="0057043D"/>
    <w:rsid w:val="005706C1"/>
    <w:rsid w:val="00570C03"/>
    <w:rsid w:val="00570CF3"/>
    <w:rsid w:val="00571DB5"/>
    <w:rsid w:val="0057291C"/>
    <w:rsid w:val="00574C30"/>
    <w:rsid w:val="005768B2"/>
    <w:rsid w:val="00580AE8"/>
    <w:rsid w:val="00580BA4"/>
    <w:rsid w:val="00580C80"/>
    <w:rsid w:val="00580D2B"/>
    <w:rsid w:val="00582D4A"/>
    <w:rsid w:val="0058433B"/>
    <w:rsid w:val="00585552"/>
    <w:rsid w:val="005855ED"/>
    <w:rsid w:val="00586E8C"/>
    <w:rsid w:val="0059042E"/>
    <w:rsid w:val="00591027"/>
    <w:rsid w:val="0059161B"/>
    <w:rsid w:val="005920EB"/>
    <w:rsid w:val="005921FF"/>
    <w:rsid w:val="0059729C"/>
    <w:rsid w:val="005A0047"/>
    <w:rsid w:val="005A02AC"/>
    <w:rsid w:val="005A1415"/>
    <w:rsid w:val="005A1489"/>
    <w:rsid w:val="005A223D"/>
    <w:rsid w:val="005A31AE"/>
    <w:rsid w:val="005A7E92"/>
    <w:rsid w:val="005B09C0"/>
    <w:rsid w:val="005B0AA9"/>
    <w:rsid w:val="005B1B9E"/>
    <w:rsid w:val="005B2369"/>
    <w:rsid w:val="005B33FF"/>
    <w:rsid w:val="005B4474"/>
    <w:rsid w:val="005B5433"/>
    <w:rsid w:val="005B5639"/>
    <w:rsid w:val="005B6B29"/>
    <w:rsid w:val="005B7780"/>
    <w:rsid w:val="005B7FAD"/>
    <w:rsid w:val="005C0064"/>
    <w:rsid w:val="005C025E"/>
    <w:rsid w:val="005C08E7"/>
    <w:rsid w:val="005C0C19"/>
    <w:rsid w:val="005C26EA"/>
    <w:rsid w:val="005C2CC5"/>
    <w:rsid w:val="005C5D3D"/>
    <w:rsid w:val="005C6D84"/>
    <w:rsid w:val="005C6F31"/>
    <w:rsid w:val="005C779D"/>
    <w:rsid w:val="005D0CB1"/>
    <w:rsid w:val="005D14AF"/>
    <w:rsid w:val="005D192D"/>
    <w:rsid w:val="005D1B20"/>
    <w:rsid w:val="005D2401"/>
    <w:rsid w:val="005D2D14"/>
    <w:rsid w:val="005D482D"/>
    <w:rsid w:val="005D6B88"/>
    <w:rsid w:val="005D6E9E"/>
    <w:rsid w:val="005D72F1"/>
    <w:rsid w:val="005D7611"/>
    <w:rsid w:val="005E0C09"/>
    <w:rsid w:val="005E1830"/>
    <w:rsid w:val="005E1B2D"/>
    <w:rsid w:val="005E21AF"/>
    <w:rsid w:val="005E2D4E"/>
    <w:rsid w:val="005E2FA3"/>
    <w:rsid w:val="005E331E"/>
    <w:rsid w:val="005E365B"/>
    <w:rsid w:val="005E383D"/>
    <w:rsid w:val="005E3F72"/>
    <w:rsid w:val="005E59BC"/>
    <w:rsid w:val="005E7506"/>
    <w:rsid w:val="005E7A9C"/>
    <w:rsid w:val="005F0556"/>
    <w:rsid w:val="005F16C5"/>
    <w:rsid w:val="005F1B26"/>
    <w:rsid w:val="005F4D9F"/>
    <w:rsid w:val="005F6166"/>
    <w:rsid w:val="005F772A"/>
    <w:rsid w:val="0060052D"/>
    <w:rsid w:val="00601423"/>
    <w:rsid w:val="006017F9"/>
    <w:rsid w:val="00602A98"/>
    <w:rsid w:val="006037EE"/>
    <w:rsid w:val="0060409F"/>
    <w:rsid w:val="00604BEC"/>
    <w:rsid w:val="00605545"/>
    <w:rsid w:val="006114E6"/>
    <w:rsid w:val="00613A98"/>
    <w:rsid w:val="006144F5"/>
    <w:rsid w:val="006147CC"/>
    <w:rsid w:val="0061507E"/>
    <w:rsid w:val="0061568B"/>
    <w:rsid w:val="00616506"/>
    <w:rsid w:val="00616F72"/>
    <w:rsid w:val="006177D3"/>
    <w:rsid w:val="00617DE3"/>
    <w:rsid w:val="00620866"/>
    <w:rsid w:val="006235B4"/>
    <w:rsid w:val="0062530D"/>
    <w:rsid w:val="00625B9F"/>
    <w:rsid w:val="00627755"/>
    <w:rsid w:val="0062789A"/>
    <w:rsid w:val="00627E47"/>
    <w:rsid w:val="0063054F"/>
    <w:rsid w:val="006307AE"/>
    <w:rsid w:val="006327DC"/>
    <w:rsid w:val="006338B9"/>
    <w:rsid w:val="00633E3B"/>
    <w:rsid w:val="0063475F"/>
    <w:rsid w:val="00634C23"/>
    <w:rsid w:val="00635BAF"/>
    <w:rsid w:val="0063605B"/>
    <w:rsid w:val="006363F6"/>
    <w:rsid w:val="00636679"/>
    <w:rsid w:val="00636C4A"/>
    <w:rsid w:val="006372D3"/>
    <w:rsid w:val="006373AA"/>
    <w:rsid w:val="00637D14"/>
    <w:rsid w:val="00642938"/>
    <w:rsid w:val="00642AF5"/>
    <w:rsid w:val="00643294"/>
    <w:rsid w:val="006435E9"/>
    <w:rsid w:val="00643B77"/>
    <w:rsid w:val="00644233"/>
    <w:rsid w:val="006446D3"/>
    <w:rsid w:val="00644F4C"/>
    <w:rsid w:val="00646396"/>
    <w:rsid w:val="00647490"/>
    <w:rsid w:val="006477A8"/>
    <w:rsid w:val="00647843"/>
    <w:rsid w:val="006501F2"/>
    <w:rsid w:val="00651D81"/>
    <w:rsid w:val="006520E9"/>
    <w:rsid w:val="0065213D"/>
    <w:rsid w:val="00653BD6"/>
    <w:rsid w:val="00653FA6"/>
    <w:rsid w:val="00655676"/>
    <w:rsid w:val="00655F3C"/>
    <w:rsid w:val="00657739"/>
    <w:rsid w:val="0066076E"/>
    <w:rsid w:val="0066082B"/>
    <w:rsid w:val="006618C2"/>
    <w:rsid w:val="0066436A"/>
    <w:rsid w:val="00665EE3"/>
    <w:rsid w:val="006718C0"/>
    <w:rsid w:val="00671995"/>
    <w:rsid w:val="00671E5D"/>
    <w:rsid w:val="00672721"/>
    <w:rsid w:val="00672CE4"/>
    <w:rsid w:val="0067342E"/>
    <w:rsid w:val="00673AC5"/>
    <w:rsid w:val="00674104"/>
    <w:rsid w:val="00674AB7"/>
    <w:rsid w:val="00675044"/>
    <w:rsid w:val="00680588"/>
    <w:rsid w:val="0068287B"/>
    <w:rsid w:val="006829DF"/>
    <w:rsid w:val="00682A81"/>
    <w:rsid w:val="0068303E"/>
    <w:rsid w:val="00683653"/>
    <w:rsid w:val="0068585C"/>
    <w:rsid w:val="00685F03"/>
    <w:rsid w:val="006867F3"/>
    <w:rsid w:val="00686870"/>
    <w:rsid w:val="00693A75"/>
    <w:rsid w:val="006941A9"/>
    <w:rsid w:val="00694BBB"/>
    <w:rsid w:val="00695363"/>
    <w:rsid w:val="006965E5"/>
    <w:rsid w:val="00697B90"/>
    <w:rsid w:val="00697FA4"/>
    <w:rsid w:val="006A0E89"/>
    <w:rsid w:val="006A15BE"/>
    <w:rsid w:val="006A2985"/>
    <w:rsid w:val="006A33C1"/>
    <w:rsid w:val="006A391C"/>
    <w:rsid w:val="006A3A3B"/>
    <w:rsid w:val="006A7B80"/>
    <w:rsid w:val="006B03AF"/>
    <w:rsid w:val="006B13DB"/>
    <w:rsid w:val="006B2405"/>
    <w:rsid w:val="006B2C27"/>
    <w:rsid w:val="006B5C50"/>
    <w:rsid w:val="006B6298"/>
    <w:rsid w:val="006B693A"/>
    <w:rsid w:val="006B6D2E"/>
    <w:rsid w:val="006B7DBA"/>
    <w:rsid w:val="006C0461"/>
    <w:rsid w:val="006C097A"/>
    <w:rsid w:val="006C0B31"/>
    <w:rsid w:val="006C1293"/>
    <w:rsid w:val="006C3140"/>
    <w:rsid w:val="006C4AD0"/>
    <w:rsid w:val="006C4E36"/>
    <w:rsid w:val="006C54F8"/>
    <w:rsid w:val="006C6577"/>
    <w:rsid w:val="006C6B13"/>
    <w:rsid w:val="006C6B66"/>
    <w:rsid w:val="006C71B5"/>
    <w:rsid w:val="006D1B8F"/>
    <w:rsid w:val="006D236B"/>
    <w:rsid w:val="006D2DC8"/>
    <w:rsid w:val="006D351B"/>
    <w:rsid w:val="006D3831"/>
    <w:rsid w:val="006D395D"/>
    <w:rsid w:val="006D3C71"/>
    <w:rsid w:val="006D54D1"/>
    <w:rsid w:val="006D64BB"/>
    <w:rsid w:val="006D74C3"/>
    <w:rsid w:val="006D7C0D"/>
    <w:rsid w:val="006E0DBB"/>
    <w:rsid w:val="006E264C"/>
    <w:rsid w:val="006E38AE"/>
    <w:rsid w:val="006E62EA"/>
    <w:rsid w:val="006E6415"/>
    <w:rsid w:val="006F1B98"/>
    <w:rsid w:val="006F2FD2"/>
    <w:rsid w:val="006F43B2"/>
    <w:rsid w:val="006F4E6F"/>
    <w:rsid w:val="006F5B88"/>
    <w:rsid w:val="006F6B8E"/>
    <w:rsid w:val="006F73A7"/>
    <w:rsid w:val="006F78BE"/>
    <w:rsid w:val="006F7CEF"/>
    <w:rsid w:val="00701336"/>
    <w:rsid w:val="007019D1"/>
    <w:rsid w:val="00702001"/>
    <w:rsid w:val="00703116"/>
    <w:rsid w:val="00703126"/>
    <w:rsid w:val="00703E4D"/>
    <w:rsid w:val="007054DC"/>
    <w:rsid w:val="00706A40"/>
    <w:rsid w:val="00706AFF"/>
    <w:rsid w:val="00710632"/>
    <w:rsid w:val="0071077B"/>
    <w:rsid w:val="0071167A"/>
    <w:rsid w:val="007129C4"/>
    <w:rsid w:val="00712B5F"/>
    <w:rsid w:val="00713787"/>
    <w:rsid w:val="00713832"/>
    <w:rsid w:val="007146F7"/>
    <w:rsid w:val="00714DD1"/>
    <w:rsid w:val="00716A50"/>
    <w:rsid w:val="007177FD"/>
    <w:rsid w:val="007178FB"/>
    <w:rsid w:val="0072051F"/>
    <w:rsid w:val="00721521"/>
    <w:rsid w:val="00722AC4"/>
    <w:rsid w:val="00722D52"/>
    <w:rsid w:val="00723D1B"/>
    <w:rsid w:val="0072520B"/>
    <w:rsid w:val="00725530"/>
    <w:rsid w:val="00725779"/>
    <w:rsid w:val="00726482"/>
    <w:rsid w:val="00726C11"/>
    <w:rsid w:val="0073017A"/>
    <w:rsid w:val="007310AE"/>
    <w:rsid w:val="00731DA6"/>
    <w:rsid w:val="00733389"/>
    <w:rsid w:val="00733F13"/>
    <w:rsid w:val="00734E26"/>
    <w:rsid w:val="007364A5"/>
    <w:rsid w:val="0073713F"/>
    <w:rsid w:val="007374E6"/>
    <w:rsid w:val="007375C3"/>
    <w:rsid w:val="00737E94"/>
    <w:rsid w:val="007415C0"/>
    <w:rsid w:val="00742338"/>
    <w:rsid w:val="00742D7E"/>
    <w:rsid w:val="0074434D"/>
    <w:rsid w:val="007478C1"/>
    <w:rsid w:val="007508D7"/>
    <w:rsid w:val="00751A52"/>
    <w:rsid w:val="007534AA"/>
    <w:rsid w:val="00753B6B"/>
    <w:rsid w:val="00754B6B"/>
    <w:rsid w:val="00754CD6"/>
    <w:rsid w:val="007570B9"/>
    <w:rsid w:val="007572FD"/>
    <w:rsid w:val="007604B5"/>
    <w:rsid w:val="00760654"/>
    <w:rsid w:val="00760AD3"/>
    <w:rsid w:val="00762C71"/>
    <w:rsid w:val="00762CB3"/>
    <w:rsid w:val="00763D3A"/>
    <w:rsid w:val="007650FE"/>
    <w:rsid w:val="00766BB9"/>
    <w:rsid w:val="00767C36"/>
    <w:rsid w:val="0077147E"/>
    <w:rsid w:val="00771BC5"/>
    <w:rsid w:val="00771CDF"/>
    <w:rsid w:val="00771D8D"/>
    <w:rsid w:val="00772BF6"/>
    <w:rsid w:val="0077331C"/>
    <w:rsid w:val="00776436"/>
    <w:rsid w:val="007767DF"/>
    <w:rsid w:val="00776847"/>
    <w:rsid w:val="007775B9"/>
    <w:rsid w:val="007806C1"/>
    <w:rsid w:val="00782099"/>
    <w:rsid w:val="007846EB"/>
    <w:rsid w:val="00785B83"/>
    <w:rsid w:val="0078616D"/>
    <w:rsid w:val="007867BE"/>
    <w:rsid w:val="0078690B"/>
    <w:rsid w:val="00791011"/>
    <w:rsid w:val="0079276F"/>
    <w:rsid w:val="007929F6"/>
    <w:rsid w:val="00792BA8"/>
    <w:rsid w:val="00793609"/>
    <w:rsid w:val="0079370F"/>
    <w:rsid w:val="007938BE"/>
    <w:rsid w:val="00794D7E"/>
    <w:rsid w:val="00796852"/>
    <w:rsid w:val="00797018"/>
    <w:rsid w:val="007A3161"/>
    <w:rsid w:val="007A3D4F"/>
    <w:rsid w:val="007A43D7"/>
    <w:rsid w:val="007A46FF"/>
    <w:rsid w:val="007A496B"/>
    <w:rsid w:val="007A7E05"/>
    <w:rsid w:val="007B24D5"/>
    <w:rsid w:val="007B36F8"/>
    <w:rsid w:val="007B3F05"/>
    <w:rsid w:val="007B460D"/>
    <w:rsid w:val="007B4AF8"/>
    <w:rsid w:val="007B5C2B"/>
    <w:rsid w:val="007C2162"/>
    <w:rsid w:val="007C284F"/>
    <w:rsid w:val="007C3305"/>
    <w:rsid w:val="007C376F"/>
    <w:rsid w:val="007C4B89"/>
    <w:rsid w:val="007C6872"/>
    <w:rsid w:val="007C6E9E"/>
    <w:rsid w:val="007C727A"/>
    <w:rsid w:val="007D001E"/>
    <w:rsid w:val="007D09CF"/>
    <w:rsid w:val="007D0B92"/>
    <w:rsid w:val="007D12F1"/>
    <w:rsid w:val="007D2F49"/>
    <w:rsid w:val="007D3960"/>
    <w:rsid w:val="007D4B0C"/>
    <w:rsid w:val="007D4ECF"/>
    <w:rsid w:val="007D71BC"/>
    <w:rsid w:val="007D7D6B"/>
    <w:rsid w:val="007E2A91"/>
    <w:rsid w:val="007E2B44"/>
    <w:rsid w:val="007E332A"/>
    <w:rsid w:val="007E341F"/>
    <w:rsid w:val="007E38AB"/>
    <w:rsid w:val="007E4161"/>
    <w:rsid w:val="007E5923"/>
    <w:rsid w:val="007E5E75"/>
    <w:rsid w:val="007E60B6"/>
    <w:rsid w:val="007E66EB"/>
    <w:rsid w:val="007E6D43"/>
    <w:rsid w:val="007E78CA"/>
    <w:rsid w:val="007E7E64"/>
    <w:rsid w:val="007F0433"/>
    <w:rsid w:val="007F054F"/>
    <w:rsid w:val="007F0632"/>
    <w:rsid w:val="007F1143"/>
    <w:rsid w:val="007F1445"/>
    <w:rsid w:val="007F1C45"/>
    <w:rsid w:val="007F23C4"/>
    <w:rsid w:val="007F29AC"/>
    <w:rsid w:val="007F2D4C"/>
    <w:rsid w:val="007F342B"/>
    <w:rsid w:val="007F37D4"/>
    <w:rsid w:val="007F3BC2"/>
    <w:rsid w:val="007F6050"/>
    <w:rsid w:val="007F60C1"/>
    <w:rsid w:val="007F6E6F"/>
    <w:rsid w:val="007F7A45"/>
    <w:rsid w:val="00800728"/>
    <w:rsid w:val="00800DA0"/>
    <w:rsid w:val="00802402"/>
    <w:rsid w:val="00802825"/>
    <w:rsid w:val="0080354B"/>
    <w:rsid w:val="00804069"/>
    <w:rsid w:val="00804DE0"/>
    <w:rsid w:val="00810406"/>
    <w:rsid w:val="00810733"/>
    <w:rsid w:val="008119E2"/>
    <w:rsid w:val="00812A19"/>
    <w:rsid w:val="00815844"/>
    <w:rsid w:val="00816D8B"/>
    <w:rsid w:val="00817390"/>
    <w:rsid w:val="008270BB"/>
    <w:rsid w:val="00830E44"/>
    <w:rsid w:val="008317D7"/>
    <w:rsid w:val="00834B89"/>
    <w:rsid w:val="00834FF1"/>
    <w:rsid w:val="008353BF"/>
    <w:rsid w:val="008365EB"/>
    <w:rsid w:val="0083788B"/>
    <w:rsid w:val="0084042A"/>
    <w:rsid w:val="008421F0"/>
    <w:rsid w:val="0084314E"/>
    <w:rsid w:val="0084316E"/>
    <w:rsid w:val="008441ED"/>
    <w:rsid w:val="0084459E"/>
    <w:rsid w:val="00844FEA"/>
    <w:rsid w:val="00846F02"/>
    <w:rsid w:val="00847367"/>
    <w:rsid w:val="008477C4"/>
    <w:rsid w:val="008516CF"/>
    <w:rsid w:val="0085219F"/>
    <w:rsid w:val="0085307E"/>
    <w:rsid w:val="008553E4"/>
    <w:rsid w:val="008558C0"/>
    <w:rsid w:val="00856064"/>
    <w:rsid w:val="0086053F"/>
    <w:rsid w:val="00860CA3"/>
    <w:rsid w:val="0086224C"/>
    <w:rsid w:val="00863A40"/>
    <w:rsid w:val="00863E8D"/>
    <w:rsid w:val="008657FD"/>
    <w:rsid w:val="00865C9F"/>
    <w:rsid w:val="00866072"/>
    <w:rsid w:val="00866431"/>
    <w:rsid w:val="00867EE2"/>
    <w:rsid w:val="008706E4"/>
    <w:rsid w:val="00870E99"/>
    <w:rsid w:val="00871D9A"/>
    <w:rsid w:val="00872676"/>
    <w:rsid w:val="008728C3"/>
    <w:rsid w:val="00873059"/>
    <w:rsid w:val="00875425"/>
    <w:rsid w:val="00875B90"/>
    <w:rsid w:val="0087718A"/>
    <w:rsid w:val="00877CC8"/>
    <w:rsid w:val="00881013"/>
    <w:rsid w:val="00881F85"/>
    <w:rsid w:val="008836DF"/>
    <w:rsid w:val="00883ECE"/>
    <w:rsid w:val="00885B45"/>
    <w:rsid w:val="00886B0C"/>
    <w:rsid w:val="00886F34"/>
    <w:rsid w:val="00887C83"/>
    <w:rsid w:val="00892A43"/>
    <w:rsid w:val="008932BF"/>
    <w:rsid w:val="00895A71"/>
    <w:rsid w:val="00897119"/>
    <w:rsid w:val="0089712E"/>
    <w:rsid w:val="00897E3A"/>
    <w:rsid w:val="008A0213"/>
    <w:rsid w:val="008A0E16"/>
    <w:rsid w:val="008A0F2F"/>
    <w:rsid w:val="008A1351"/>
    <w:rsid w:val="008A1C1A"/>
    <w:rsid w:val="008A30AD"/>
    <w:rsid w:val="008A31C6"/>
    <w:rsid w:val="008A3C98"/>
    <w:rsid w:val="008A6397"/>
    <w:rsid w:val="008A63B8"/>
    <w:rsid w:val="008A7293"/>
    <w:rsid w:val="008A7B51"/>
    <w:rsid w:val="008B0D1A"/>
    <w:rsid w:val="008B13C7"/>
    <w:rsid w:val="008B3162"/>
    <w:rsid w:val="008B36C0"/>
    <w:rsid w:val="008B4481"/>
    <w:rsid w:val="008B7BF7"/>
    <w:rsid w:val="008C1077"/>
    <w:rsid w:val="008C178B"/>
    <w:rsid w:val="008C3ADC"/>
    <w:rsid w:val="008C4237"/>
    <w:rsid w:val="008C4CED"/>
    <w:rsid w:val="008C5E24"/>
    <w:rsid w:val="008C6331"/>
    <w:rsid w:val="008C668B"/>
    <w:rsid w:val="008C7CA6"/>
    <w:rsid w:val="008C7DF4"/>
    <w:rsid w:val="008C7E71"/>
    <w:rsid w:val="008D10BB"/>
    <w:rsid w:val="008D13C9"/>
    <w:rsid w:val="008D1FCF"/>
    <w:rsid w:val="008D350F"/>
    <w:rsid w:val="008D4907"/>
    <w:rsid w:val="008D4EE2"/>
    <w:rsid w:val="008D5EC0"/>
    <w:rsid w:val="008D7220"/>
    <w:rsid w:val="008D73D8"/>
    <w:rsid w:val="008D78CD"/>
    <w:rsid w:val="008E0C11"/>
    <w:rsid w:val="008E14E7"/>
    <w:rsid w:val="008E172D"/>
    <w:rsid w:val="008E3735"/>
    <w:rsid w:val="008E3DE7"/>
    <w:rsid w:val="008E58A5"/>
    <w:rsid w:val="008E7B5C"/>
    <w:rsid w:val="008F1693"/>
    <w:rsid w:val="008F1930"/>
    <w:rsid w:val="008F1C7D"/>
    <w:rsid w:val="008F2AB5"/>
    <w:rsid w:val="008F3626"/>
    <w:rsid w:val="008F66EE"/>
    <w:rsid w:val="008F72F7"/>
    <w:rsid w:val="008F7C7B"/>
    <w:rsid w:val="0090397C"/>
    <w:rsid w:val="00904054"/>
    <w:rsid w:val="00905461"/>
    <w:rsid w:val="00907B1E"/>
    <w:rsid w:val="0091382F"/>
    <w:rsid w:val="00913A13"/>
    <w:rsid w:val="009143A7"/>
    <w:rsid w:val="009152FE"/>
    <w:rsid w:val="009173C0"/>
    <w:rsid w:val="00917F07"/>
    <w:rsid w:val="0092060B"/>
    <w:rsid w:val="00920AAC"/>
    <w:rsid w:val="009229CC"/>
    <w:rsid w:val="00923764"/>
    <w:rsid w:val="00924507"/>
    <w:rsid w:val="00924801"/>
    <w:rsid w:val="00924C1D"/>
    <w:rsid w:val="00926C02"/>
    <w:rsid w:val="00930607"/>
    <w:rsid w:val="00930918"/>
    <w:rsid w:val="00930FED"/>
    <w:rsid w:val="00937B80"/>
    <w:rsid w:val="0094166E"/>
    <w:rsid w:val="00941EE1"/>
    <w:rsid w:val="00942C0E"/>
    <w:rsid w:val="0094459F"/>
    <w:rsid w:val="00945166"/>
    <w:rsid w:val="00945635"/>
    <w:rsid w:val="00945765"/>
    <w:rsid w:val="009479F3"/>
    <w:rsid w:val="00947A6D"/>
    <w:rsid w:val="00950C54"/>
    <w:rsid w:val="009513F5"/>
    <w:rsid w:val="0095338F"/>
    <w:rsid w:val="00955DEB"/>
    <w:rsid w:val="00955EE1"/>
    <w:rsid w:val="00956628"/>
    <w:rsid w:val="00957158"/>
    <w:rsid w:val="00960391"/>
    <w:rsid w:val="009616D5"/>
    <w:rsid w:val="009617CB"/>
    <w:rsid w:val="0096303D"/>
    <w:rsid w:val="009630E4"/>
    <w:rsid w:val="00963437"/>
    <w:rsid w:val="00963F61"/>
    <w:rsid w:val="00964511"/>
    <w:rsid w:val="00964933"/>
    <w:rsid w:val="00964EE6"/>
    <w:rsid w:val="009656EB"/>
    <w:rsid w:val="0096584C"/>
    <w:rsid w:val="00965B6F"/>
    <w:rsid w:val="00965C0C"/>
    <w:rsid w:val="00965E57"/>
    <w:rsid w:val="00966345"/>
    <w:rsid w:val="00967F87"/>
    <w:rsid w:val="00970ED6"/>
    <w:rsid w:val="009711B7"/>
    <w:rsid w:val="0097236E"/>
    <w:rsid w:val="00972A8E"/>
    <w:rsid w:val="00974DC1"/>
    <w:rsid w:val="00977081"/>
    <w:rsid w:val="009773EB"/>
    <w:rsid w:val="00977769"/>
    <w:rsid w:val="0098080B"/>
    <w:rsid w:val="00980D60"/>
    <w:rsid w:val="00981195"/>
    <w:rsid w:val="00981C24"/>
    <w:rsid w:val="009825EC"/>
    <w:rsid w:val="0098276D"/>
    <w:rsid w:val="00983F26"/>
    <w:rsid w:val="0098405E"/>
    <w:rsid w:val="0098450D"/>
    <w:rsid w:val="0098535D"/>
    <w:rsid w:val="00986BC6"/>
    <w:rsid w:val="00987143"/>
    <w:rsid w:val="009877C6"/>
    <w:rsid w:val="00992E6F"/>
    <w:rsid w:val="009930FA"/>
    <w:rsid w:val="009946CD"/>
    <w:rsid w:val="00995160"/>
    <w:rsid w:val="0099683C"/>
    <w:rsid w:val="00997B87"/>
    <w:rsid w:val="009A00CB"/>
    <w:rsid w:val="009A0F34"/>
    <w:rsid w:val="009A2DA2"/>
    <w:rsid w:val="009A5F12"/>
    <w:rsid w:val="009A5FFC"/>
    <w:rsid w:val="009A77C1"/>
    <w:rsid w:val="009B12A1"/>
    <w:rsid w:val="009B2277"/>
    <w:rsid w:val="009B274F"/>
    <w:rsid w:val="009B2CCE"/>
    <w:rsid w:val="009B4B09"/>
    <w:rsid w:val="009B5474"/>
    <w:rsid w:val="009B6AE3"/>
    <w:rsid w:val="009B7CB7"/>
    <w:rsid w:val="009B7EFB"/>
    <w:rsid w:val="009C0297"/>
    <w:rsid w:val="009C0EF8"/>
    <w:rsid w:val="009C15E7"/>
    <w:rsid w:val="009C2047"/>
    <w:rsid w:val="009C20CC"/>
    <w:rsid w:val="009C2A10"/>
    <w:rsid w:val="009C2F1A"/>
    <w:rsid w:val="009C42BC"/>
    <w:rsid w:val="009C4E5D"/>
    <w:rsid w:val="009C57A5"/>
    <w:rsid w:val="009D1063"/>
    <w:rsid w:val="009D1254"/>
    <w:rsid w:val="009D14EE"/>
    <w:rsid w:val="009D26BC"/>
    <w:rsid w:val="009D30C0"/>
    <w:rsid w:val="009D38D9"/>
    <w:rsid w:val="009D421C"/>
    <w:rsid w:val="009D4FDB"/>
    <w:rsid w:val="009D7006"/>
    <w:rsid w:val="009D7C88"/>
    <w:rsid w:val="009D7FC0"/>
    <w:rsid w:val="009E088B"/>
    <w:rsid w:val="009E0A0B"/>
    <w:rsid w:val="009E0E76"/>
    <w:rsid w:val="009E2147"/>
    <w:rsid w:val="009E2914"/>
    <w:rsid w:val="009E2C35"/>
    <w:rsid w:val="009E44D1"/>
    <w:rsid w:val="009E57CF"/>
    <w:rsid w:val="009E739C"/>
    <w:rsid w:val="009F0370"/>
    <w:rsid w:val="009F0DB6"/>
    <w:rsid w:val="009F1B2E"/>
    <w:rsid w:val="009F230F"/>
    <w:rsid w:val="009F3124"/>
    <w:rsid w:val="009F44E5"/>
    <w:rsid w:val="009F4BFD"/>
    <w:rsid w:val="009F6A13"/>
    <w:rsid w:val="009F7DF3"/>
    <w:rsid w:val="00A001B5"/>
    <w:rsid w:val="00A01C3F"/>
    <w:rsid w:val="00A01EFF"/>
    <w:rsid w:val="00A050CB"/>
    <w:rsid w:val="00A05689"/>
    <w:rsid w:val="00A10CE2"/>
    <w:rsid w:val="00A11130"/>
    <w:rsid w:val="00A1171C"/>
    <w:rsid w:val="00A11D8C"/>
    <w:rsid w:val="00A11E23"/>
    <w:rsid w:val="00A138BA"/>
    <w:rsid w:val="00A139D0"/>
    <w:rsid w:val="00A14846"/>
    <w:rsid w:val="00A16065"/>
    <w:rsid w:val="00A170F8"/>
    <w:rsid w:val="00A17CA2"/>
    <w:rsid w:val="00A21CC2"/>
    <w:rsid w:val="00A2255D"/>
    <w:rsid w:val="00A237DC"/>
    <w:rsid w:val="00A24E88"/>
    <w:rsid w:val="00A266F1"/>
    <w:rsid w:val="00A27879"/>
    <w:rsid w:val="00A27CA9"/>
    <w:rsid w:val="00A305A7"/>
    <w:rsid w:val="00A34822"/>
    <w:rsid w:val="00A34CDF"/>
    <w:rsid w:val="00A35798"/>
    <w:rsid w:val="00A35A10"/>
    <w:rsid w:val="00A35EC6"/>
    <w:rsid w:val="00A36739"/>
    <w:rsid w:val="00A36EA4"/>
    <w:rsid w:val="00A3760E"/>
    <w:rsid w:val="00A4075D"/>
    <w:rsid w:val="00A43491"/>
    <w:rsid w:val="00A44503"/>
    <w:rsid w:val="00A475B4"/>
    <w:rsid w:val="00A47A3D"/>
    <w:rsid w:val="00A50908"/>
    <w:rsid w:val="00A5164D"/>
    <w:rsid w:val="00A5182C"/>
    <w:rsid w:val="00A51CC3"/>
    <w:rsid w:val="00A51E53"/>
    <w:rsid w:val="00A524BB"/>
    <w:rsid w:val="00A53335"/>
    <w:rsid w:val="00A5347D"/>
    <w:rsid w:val="00A53736"/>
    <w:rsid w:val="00A53F53"/>
    <w:rsid w:val="00A55343"/>
    <w:rsid w:val="00A56262"/>
    <w:rsid w:val="00A56A47"/>
    <w:rsid w:val="00A57338"/>
    <w:rsid w:val="00A57C0F"/>
    <w:rsid w:val="00A60416"/>
    <w:rsid w:val="00A616A8"/>
    <w:rsid w:val="00A61D3B"/>
    <w:rsid w:val="00A61D71"/>
    <w:rsid w:val="00A63102"/>
    <w:rsid w:val="00A6340F"/>
    <w:rsid w:val="00A63928"/>
    <w:rsid w:val="00A64279"/>
    <w:rsid w:val="00A65049"/>
    <w:rsid w:val="00A654F7"/>
    <w:rsid w:val="00A656F6"/>
    <w:rsid w:val="00A6677E"/>
    <w:rsid w:val="00A66CF5"/>
    <w:rsid w:val="00A66D0F"/>
    <w:rsid w:val="00A67ED6"/>
    <w:rsid w:val="00A70C03"/>
    <w:rsid w:val="00A713BE"/>
    <w:rsid w:val="00A7361B"/>
    <w:rsid w:val="00A73E32"/>
    <w:rsid w:val="00A742E8"/>
    <w:rsid w:val="00A76001"/>
    <w:rsid w:val="00A76296"/>
    <w:rsid w:val="00A7684E"/>
    <w:rsid w:val="00A81556"/>
    <w:rsid w:val="00A8174F"/>
    <w:rsid w:val="00A81FEF"/>
    <w:rsid w:val="00A8274B"/>
    <w:rsid w:val="00A82BEE"/>
    <w:rsid w:val="00A83267"/>
    <w:rsid w:val="00A8351C"/>
    <w:rsid w:val="00A83814"/>
    <w:rsid w:val="00A83830"/>
    <w:rsid w:val="00A852D4"/>
    <w:rsid w:val="00A876E8"/>
    <w:rsid w:val="00A90291"/>
    <w:rsid w:val="00A90942"/>
    <w:rsid w:val="00A90F0D"/>
    <w:rsid w:val="00A918CB"/>
    <w:rsid w:val="00A92595"/>
    <w:rsid w:val="00A940DA"/>
    <w:rsid w:val="00A94DFA"/>
    <w:rsid w:val="00A95842"/>
    <w:rsid w:val="00A959AC"/>
    <w:rsid w:val="00A97541"/>
    <w:rsid w:val="00AA0776"/>
    <w:rsid w:val="00AA16AA"/>
    <w:rsid w:val="00AA1AD2"/>
    <w:rsid w:val="00AA1D76"/>
    <w:rsid w:val="00AA2C28"/>
    <w:rsid w:val="00AA2F89"/>
    <w:rsid w:val="00AA5F2B"/>
    <w:rsid w:val="00AA63C5"/>
    <w:rsid w:val="00AA687E"/>
    <w:rsid w:val="00AA6A0A"/>
    <w:rsid w:val="00AB0D75"/>
    <w:rsid w:val="00AB1061"/>
    <w:rsid w:val="00AB1FA1"/>
    <w:rsid w:val="00AB203B"/>
    <w:rsid w:val="00AB20FA"/>
    <w:rsid w:val="00AB4016"/>
    <w:rsid w:val="00AB4B2F"/>
    <w:rsid w:val="00AB5457"/>
    <w:rsid w:val="00AB64D0"/>
    <w:rsid w:val="00AB7C49"/>
    <w:rsid w:val="00AC09ED"/>
    <w:rsid w:val="00AC41D6"/>
    <w:rsid w:val="00AC4391"/>
    <w:rsid w:val="00AC44C2"/>
    <w:rsid w:val="00AC50BD"/>
    <w:rsid w:val="00AC525B"/>
    <w:rsid w:val="00AC6225"/>
    <w:rsid w:val="00AC76C7"/>
    <w:rsid w:val="00AC7946"/>
    <w:rsid w:val="00AD0481"/>
    <w:rsid w:val="00AD135F"/>
    <w:rsid w:val="00AD15FC"/>
    <w:rsid w:val="00AD1B35"/>
    <w:rsid w:val="00AD20D0"/>
    <w:rsid w:val="00AD213E"/>
    <w:rsid w:val="00AD258F"/>
    <w:rsid w:val="00AD30AE"/>
    <w:rsid w:val="00AD311C"/>
    <w:rsid w:val="00AD43A7"/>
    <w:rsid w:val="00AD689C"/>
    <w:rsid w:val="00AE0116"/>
    <w:rsid w:val="00AE0A6C"/>
    <w:rsid w:val="00AE33EF"/>
    <w:rsid w:val="00AE37AB"/>
    <w:rsid w:val="00AE408E"/>
    <w:rsid w:val="00AE59CF"/>
    <w:rsid w:val="00AE5A48"/>
    <w:rsid w:val="00AE613F"/>
    <w:rsid w:val="00AE6576"/>
    <w:rsid w:val="00AF1CEC"/>
    <w:rsid w:val="00AF39A8"/>
    <w:rsid w:val="00AF3AB0"/>
    <w:rsid w:val="00AF75E8"/>
    <w:rsid w:val="00AF763D"/>
    <w:rsid w:val="00B00511"/>
    <w:rsid w:val="00B007BD"/>
    <w:rsid w:val="00B01745"/>
    <w:rsid w:val="00B01FE0"/>
    <w:rsid w:val="00B023F2"/>
    <w:rsid w:val="00B02DB7"/>
    <w:rsid w:val="00B04EB6"/>
    <w:rsid w:val="00B050E4"/>
    <w:rsid w:val="00B05961"/>
    <w:rsid w:val="00B05E63"/>
    <w:rsid w:val="00B0622B"/>
    <w:rsid w:val="00B11650"/>
    <w:rsid w:val="00B11F91"/>
    <w:rsid w:val="00B120F0"/>
    <w:rsid w:val="00B1260C"/>
    <w:rsid w:val="00B12F60"/>
    <w:rsid w:val="00B13421"/>
    <w:rsid w:val="00B13A45"/>
    <w:rsid w:val="00B141EF"/>
    <w:rsid w:val="00B152F9"/>
    <w:rsid w:val="00B1537F"/>
    <w:rsid w:val="00B16141"/>
    <w:rsid w:val="00B170C3"/>
    <w:rsid w:val="00B17B5C"/>
    <w:rsid w:val="00B17C4F"/>
    <w:rsid w:val="00B20C27"/>
    <w:rsid w:val="00B22B7F"/>
    <w:rsid w:val="00B22F69"/>
    <w:rsid w:val="00B23070"/>
    <w:rsid w:val="00B232F7"/>
    <w:rsid w:val="00B23EBF"/>
    <w:rsid w:val="00B25156"/>
    <w:rsid w:val="00B279D9"/>
    <w:rsid w:val="00B30027"/>
    <w:rsid w:val="00B319FE"/>
    <w:rsid w:val="00B322B6"/>
    <w:rsid w:val="00B33A8D"/>
    <w:rsid w:val="00B37008"/>
    <w:rsid w:val="00B406EE"/>
    <w:rsid w:val="00B40E65"/>
    <w:rsid w:val="00B4335C"/>
    <w:rsid w:val="00B46685"/>
    <w:rsid w:val="00B47E2B"/>
    <w:rsid w:val="00B47FA8"/>
    <w:rsid w:val="00B50A47"/>
    <w:rsid w:val="00B50F65"/>
    <w:rsid w:val="00B5221E"/>
    <w:rsid w:val="00B52A02"/>
    <w:rsid w:val="00B53B13"/>
    <w:rsid w:val="00B54DF9"/>
    <w:rsid w:val="00B56144"/>
    <w:rsid w:val="00B60623"/>
    <w:rsid w:val="00B62CF1"/>
    <w:rsid w:val="00B63A6F"/>
    <w:rsid w:val="00B64BC4"/>
    <w:rsid w:val="00B6598B"/>
    <w:rsid w:val="00B659E5"/>
    <w:rsid w:val="00B66006"/>
    <w:rsid w:val="00B67620"/>
    <w:rsid w:val="00B67FE5"/>
    <w:rsid w:val="00B70B4A"/>
    <w:rsid w:val="00B724C8"/>
    <w:rsid w:val="00B74A4C"/>
    <w:rsid w:val="00B80BFC"/>
    <w:rsid w:val="00B82AFB"/>
    <w:rsid w:val="00B838F4"/>
    <w:rsid w:val="00B84C84"/>
    <w:rsid w:val="00B852EF"/>
    <w:rsid w:val="00B863F6"/>
    <w:rsid w:val="00B910BA"/>
    <w:rsid w:val="00B9110E"/>
    <w:rsid w:val="00B9166A"/>
    <w:rsid w:val="00B94906"/>
    <w:rsid w:val="00B94B64"/>
    <w:rsid w:val="00B94F5F"/>
    <w:rsid w:val="00B95A44"/>
    <w:rsid w:val="00B97C19"/>
    <w:rsid w:val="00BA156D"/>
    <w:rsid w:val="00BA1EAA"/>
    <w:rsid w:val="00BA24F7"/>
    <w:rsid w:val="00BA3356"/>
    <w:rsid w:val="00BA34FC"/>
    <w:rsid w:val="00BA4008"/>
    <w:rsid w:val="00BA448F"/>
    <w:rsid w:val="00BA5B0A"/>
    <w:rsid w:val="00BA61A4"/>
    <w:rsid w:val="00BA6752"/>
    <w:rsid w:val="00BA7210"/>
    <w:rsid w:val="00BA7F32"/>
    <w:rsid w:val="00BB0403"/>
    <w:rsid w:val="00BB21BB"/>
    <w:rsid w:val="00BB24BF"/>
    <w:rsid w:val="00BB26DD"/>
    <w:rsid w:val="00BB440B"/>
    <w:rsid w:val="00BB44D6"/>
    <w:rsid w:val="00BB45DC"/>
    <w:rsid w:val="00BB52F2"/>
    <w:rsid w:val="00BB68F7"/>
    <w:rsid w:val="00BB71DC"/>
    <w:rsid w:val="00BB7271"/>
    <w:rsid w:val="00BB7EF2"/>
    <w:rsid w:val="00BB7FC9"/>
    <w:rsid w:val="00BC0ED4"/>
    <w:rsid w:val="00BC16A1"/>
    <w:rsid w:val="00BC215F"/>
    <w:rsid w:val="00BD1589"/>
    <w:rsid w:val="00BD170B"/>
    <w:rsid w:val="00BD1F6E"/>
    <w:rsid w:val="00BD229E"/>
    <w:rsid w:val="00BD39AE"/>
    <w:rsid w:val="00BD3B90"/>
    <w:rsid w:val="00BD4EF5"/>
    <w:rsid w:val="00BD4F3B"/>
    <w:rsid w:val="00BD59D5"/>
    <w:rsid w:val="00BD6C03"/>
    <w:rsid w:val="00BE011A"/>
    <w:rsid w:val="00BE1747"/>
    <w:rsid w:val="00BE179E"/>
    <w:rsid w:val="00BE1A77"/>
    <w:rsid w:val="00BE2290"/>
    <w:rsid w:val="00BE3A26"/>
    <w:rsid w:val="00BF057A"/>
    <w:rsid w:val="00BF258C"/>
    <w:rsid w:val="00BF3236"/>
    <w:rsid w:val="00BF4C29"/>
    <w:rsid w:val="00BF5B84"/>
    <w:rsid w:val="00BF776A"/>
    <w:rsid w:val="00BF7A0E"/>
    <w:rsid w:val="00C02F15"/>
    <w:rsid w:val="00C0455D"/>
    <w:rsid w:val="00C049EC"/>
    <w:rsid w:val="00C04B74"/>
    <w:rsid w:val="00C05045"/>
    <w:rsid w:val="00C0588C"/>
    <w:rsid w:val="00C07A20"/>
    <w:rsid w:val="00C11A6E"/>
    <w:rsid w:val="00C11FC6"/>
    <w:rsid w:val="00C1200B"/>
    <w:rsid w:val="00C13895"/>
    <w:rsid w:val="00C13D06"/>
    <w:rsid w:val="00C13E69"/>
    <w:rsid w:val="00C14DC9"/>
    <w:rsid w:val="00C169AD"/>
    <w:rsid w:val="00C1748A"/>
    <w:rsid w:val="00C17ADB"/>
    <w:rsid w:val="00C22A13"/>
    <w:rsid w:val="00C2390B"/>
    <w:rsid w:val="00C2480C"/>
    <w:rsid w:val="00C25567"/>
    <w:rsid w:val="00C26092"/>
    <w:rsid w:val="00C26B50"/>
    <w:rsid w:val="00C30488"/>
    <w:rsid w:val="00C3103A"/>
    <w:rsid w:val="00C3135C"/>
    <w:rsid w:val="00C3166A"/>
    <w:rsid w:val="00C3306E"/>
    <w:rsid w:val="00C33681"/>
    <w:rsid w:val="00C33880"/>
    <w:rsid w:val="00C345EB"/>
    <w:rsid w:val="00C352C0"/>
    <w:rsid w:val="00C355BD"/>
    <w:rsid w:val="00C37019"/>
    <w:rsid w:val="00C3709A"/>
    <w:rsid w:val="00C37A77"/>
    <w:rsid w:val="00C37FED"/>
    <w:rsid w:val="00C40789"/>
    <w:rsid w:val="00C42C83"/>
    <w:rsid w:val="00C43903"/>
    <w:rsid w:val="00C44675"/>
    <w:rsid w:val="00C453FB"/>
    <w:rsid w:val="00C45760"/>
    <w:rsid w:val="00C45772"/>
    <w:rsid w:val="00C45EA7"/>
    <w:rsid w:val="00C47688"/>
    <w:rsid w:val="00C479B7"/>
    <w:rsid w:val="00C506F5"/>
    <w:rsid w:val="00C50829"/>
    <w:rsid w:val="00C509B1"/>
    <w:rsid w:val="00C518C8"/>
    <w:rsid w:val="00C52544"/>
    <w:rsid w:val="00C52BE0"/>
    <w:rsid w:val="00C53300"/>
    <w:rsid w:val="00C537CE"/>
    <w:rsid w:val="00C5424A"/>
    <w:rsid w:val="00C55F54"/>
    <w:rsid w:val="00C5749B"/>
    <w:rsid w:val="00C60165"/>
    <w:rsid w:val="00C60B5C"/>
    <w:rsid w:val="00C61E43"/>
    <w:rsid w:val="00C62920"/>
    <w:rsid w:val="00C64377"/>
    <w:rsid w:val="00C648E2"/>
    <w:rsid w:val="00C650FF"/>
    <w:rsid w:val="00C67195"/>
    <w:rsid w:val="00C6730C"/>
    <w:rsid w:val="00C67E1B"/>
    <w:rsid w:val="00C70DCE"/>
    <w:rsid w:val="00C72996"/>
    <w:rsid w:val="00C72DFD"/>
    <w:rsid w:val="00C737AC"/>
    <w:rsid w:val="00C74A09"/>
    <w:rsid w:val="00C75059"/>
    <w:rsid w:val="00C751F7"/>
    <w:rsid w:val="00C75AB9"/>
    <w:rsid w:val="00C75BCC"/>
    <w:rsid w:val="00C767B1"/>
    <w:rsid w:val="00C772EF"/>
    <w:rsid w:val="00C80A4F"/>
    <w:rsid w:val="00C80D75"/>
    <w:rsid w:val="00C80E08"/>
    <w:rsid w:val="00C83A6F"/>
    <w:rsid w:val="00C83EC8"/>
    <w:rsid w:val="00C849C5"/>
    <w:rsid w:val="00C85961"/>
    <w:rsid w:val="00C859DB"/>
    <w:rsid w:val="00C85DCC"/>
    <w:rsid w:val="00C8639A"/>
    <w:rsid w:val="00C8761C"/>
    <w:rsid w:val="00C90944"/>
    <w:rsid w:val="00C90AFA"/>
    <w:rsid w:val="00C93A15"/>
    <w:rsid w:val="00C94060"/>
    <w:rsid w:val="00C94393"/>
    <w:rsid w:val="00C95644"/>
    <w:rsid w:val="00C96186"/>
    <w:rsid w:val="00C961DA"/>
    <w:rsid w:val="00C9653E"/>
    <w:rsid w:val="00C97B46"/>
    <w:rsid w:val="00CA028E"/>
    <w:rsid w:val="00CA1775"/>
    <w:rsid w:val="00CA3D5E"/>
    <w:rsid w:val="00CA3FD5"/>
    <w:rsid w:val="00CA64C6"/>
    <w:rsid w:val="00CA7D77"/>
    <w:rsid w:val="00CA7EC8"/>
    <w:rsid w:val="00CB01E8"/>
    <w:rsid w:val="00CB0417"/>
    <w:rsid w:val="00CB0FED"/>
    <w:rsid w:val="00CB22B2"/>
    <w:rsid w:val="00CB2CA1"/>
    <w:rsid w:val="00CB34D3"/>
    <w:rsid w:val="00CB3D33"/>
    <w:rsid w:val="00CB470D"/>
    <w:rsid w:val="00CB5052"/>
    <w:rsid w:val="00CB72AC"/>
    <w:rsid w:val="00CB7D43"/>
    <w:rsid w:val="00CB7DBB"/>
    <w:rsid w:val="00CC10DC"/>
    <w:rsid w:val="00CC1B44"/>
    <w:rsid w:val="00CC2D8F"/>
    <w:rsid w:val="00CC2E11"/>
    <w:rsid w:val="00CC350D"/>
    <w:rsid w:val="00CC4FE4"/>
    <w:rsid w:val="00CD1371"/>
    <w:rsid w:val="00CD1E6A"/>
    <w:rsid w:val="00CD293D"/>
    <w:rsid w:val="00CD3107"/>
    <w:rsid w:val="00CD4ABE"/>
    <w:rsid w:val="00CD6338"/>
    <w:rsid w:val="00CD6823"/>
    <w:rsid w:val="00CD77BD"/>
    <w:rsid w:val="00CE0053"/>
    <w:rsid w:val="00CE0333"/>
    <w:rsid w:val="00CE06EC"/>
    <w:rsid w:val="00CE0FD8"/>
    <w:rsid w:val="00CE236F"/>
    <w:rsid w:val="00CE32C6"/>
    <w:rsid w:val="00CE4F53"/>
    <w:rsid w:val="00CE5CA3"/>
    <w:rsid w:val="00CE6A0A"/>
    <w:rsid w:val="00CE6C60"/>
    <w:rsid w:val="00CE6D77"/>
    <w:rsid w:val="00CF214B"/>
    <w:rsid w:val="00CF3028"/>
    <w:rsid w:val="00CF329C"/>
    <w:rsid w:val="00CF3729"/>
    <w:rsid w:val="00CF3848"/>
    <w:rsid w:val="00CF385E"/>
    <w:rsid w:val="00CF3957"/>
    <w:rsid w:val="00CF4020"/>
    <w:rsid w:val="00D014F4"/>
    <w:rsid w:val="00D019FF"/>
    <w:rsid w:val="00D01FC4"/>
    <w:rsid w:val="00D04D60"/>
    <w:rsid w:val="00D0575B"/>
    <w:rsid w:val="00D1035E"/>
    <w:rsid w:val="00D105CD"/>
    <w:rsid w:val="00D1067E"/>
    <w:rsid w:val="00D1391C"/>
    <w:rsid w:val="00D1577D"/>
    <w:rsid w:val="00D1775E"/>
    <w:rsid w:val="00D17E10"/>
    <w:rsid w:val="00D20E67"/>
    <w:rsid w:val="00D21066"/>
    <w:rsid w:val="00D211CB"/>
    <w:rsid w:val="00D21515"/>
    <w:rsid w:val="00D273A1"/>
    <w:rsid w:val="00D276EF"/>
    <w:rsid w:val="00D327E5"/>
    <w:rsid w:val="00D33E44"/>
    <w:rsid w:val="00D34B2E"/>
    <w:rsid w:val="00D35765"/>
    <w:rsid w:val="00D3617A"/>
    <w:rsid w:val="00D3650C"/>
    <w:rsid w:val="00D369B5"/>
    <w:rsid w:val="00D37162"/>
    <w:rsid w:val="00D374FE"/>
    <w:rsid w:val="00D37A65"/>
    <w:rsid w:val="00D407D3"/>
    <w:rsid w:val="00D42A73"/>
    <w:rsid w:val="00D43986"/>
    <w:rsid w:val="00D4417B"/>
    <w:rsid w:val="00D4484B"/>
    <w:rsid w:val="00D44C4A"/>
    <w:rsid w:val="00D44E90"/>
    <w:rsid w:val="00D460BC"/>
    <w:rsid w:val="00D46118"/>
    <w:rsid w:val="00D46CDB"/>
    <w:rsid w:val="00D470CD"/>
    <w:rsid w:val="00D51720"/>
    <w:rsid w:val="00D51750"/>
    <w:rsid w:val="00D528FA"/>
    <w:rsid w:val="00D531FE"/>
    <w:rsid w:val="00D55C6E"/>
    <w:rsid w:val="00D5606A"/>
    <w:rsid w:val="00D564A5"/>
    <w:rsid w:val="00D569A2"/>
    <w:rsid w:val="00D56F9E"/>
    <w:rsid w:val="00D579D9"/>
    <w:rsid w:val="00D57A13"/>
    <w:rsid w:val="00D57A94"/>
    <w:rsid w:val="00D604E4"/>
    <w:rsid w:val="00D60CDB"/>
    <w:rsid w:val="00D6223B"/>
    <w:rsid w:val="00D63A8D"/>
    <w:rsid w:val="00D64617"/>
    <w:rsid w:val="00D651C5"/>
    <w:rsid w:val="00D6628D"/>
    <w:rsid w:val="00D66C7B"/>
    <w:rsid w:val="00D6797F"/>
    <w:rsid w:val="00D7094A"/>
    <w:rsid w:val="00D73536"/>
    <w:rsid w:val="00D745CE"/>
    <w:rsid w:val="00D745D6"/>
    <w:rsid w:val="00D75BEA"/>
    <w:rsid w:val="00D76019"/>
    <w:rsid w:val="00D81677"/>
    <w:rsid w:val="00D827DA"/>
    <w:rsid w:val="00D834EC"/>
    <w:rsid w:val="00D83629"/>
    <w:rsid w:val="00D836D9"/>
    <w:rsid w:val="00D83FB5"/>
    <w:rsid w:val="00D84100"/>
    <w:rsid w:val="00D847A7"/>
    <w:rsid w:val="00D8507C"/>
    <w:rsid w:val="00D854F3"/>
    <w:rsid w:val="00D859F8"/>
    <w:rsid w:val="00D85B13"/>
    <w:rsid w:val="00D86C49"/>
    <w:rsid w:val="00D874B9"/>
    <w:rsid w:val="00D87EE3"/>
    <w:rsid w:val="00D90233"/>
    <w:rsid w:val="00D903BC"/>
    <w:rsid w:val="00D905A1"/>
    <w:rsid w:val="00D90EF1"/>
    <w:rsid w:val="00D913CD"/>
    <w:rsid w:val="00D91764"/>
    <w:rsid w:val="00D922E7"/>
    <w:rsid w:val="00D9266E"/>
    <w:rsid w:val="00D92683"/>
    <w:rsid w:val="00D9335B"/>
    <w:rsid w:val="00DA0BA5"/>
    <w:rsid w:val="00DA215D"/>
    <w:rsid w:val="00DA3149"/>
    <w:rsid w:val="00DA3F2D"/>
    <w:rsid w:val="00DA437C"/>
    <w:rsid w:val="00DA4588"/>
    <w:rsid w:val="00DA4CE3"/>
    <w:rsid w:val="00DA4D57"/>
    <w:rsid w:val="00DA5A7B"/>
    <w:rsid w:val="00DA5D6F"/>
    <w:rsid w:val="00DB1106"/>
    <w:rsid w:val="00DB192B"/>
    <w:rsid w:val="00DB1F4C"/>
    <w:rsid w:val="00DB21F9"/>
    <w:rsid w:val="00DB2529"/>
    <w:rsid w:val="00DB2A5F"/>
    <w:rsid w:val="00DB3EDE"/>
    <w:rsid w:val="00DB4316"/>
    <w:rsid w:val="00DB5109"/>
    <w:rsid w:val="00DB666B"/>
    <w:rsid w:val="00DB7C7F"/>
    <w:rsid w:val="00DC0652"/>
    <w:rsid w:val="00DC0F76"/>
    <w:rsid w:val="00DC1103"/>
    <w:rsid w:val="00DC1347"/>
    <w:rsid w:val="00DC1FB8"/>
    <w:rsid w:val="00DC2AF4"/>
    <w:rsid w:val="00DC334C"/>
    <w:rsid w:val="00DC4007"/>
    <w:rsid w:val="00DC4153"/>
    <w:rsid w:val="00DC46A8"/>
    <w:rsid w:val="00DC4C87"/>
    <w:rsid w:val="00DC538B"/>
    <w:rsid w:val="00DD01D6"/>
    <w:rsid w:val="00DD0267"/>
    <w:rsid w:val="00DD0C92"/>
    <w:rsid w:val="00DD1149"/>
    <w:rsid w:val="00DD12E9"/>
    <w:rsid w:val="00DD1470"/>
    <w:rsid w:val="00DD1720"/>
    <w:rsid w:val="00DD1B34"/>
    <w:rsid w:val="00DD2C4B"/>
    <w:rsid w:val="00DD2F7F"/>
    <w:rsid w:val="00DD5B47"/>
    <w:rsid w:val="00DD6B76"/>
    <w:rsid w:val="00DE3867"/>
    <w:rsid w:val="00DE4B8F"/>
    <w:rsid w:val="00DE5734"/>
    <w:rsid w:val="00DE73F1"/>
    <w:rsid w:val="00DE76C8"/>
    <w:rsid w:val="00DE7BD0"/>
    <w:rsid w:val="00DE7D03"/>
    <w:rsid w:val="00DE7D35"/>
    <w:rsid w:val="00DF14C5"/>
    <w:rsid w:val="00DF3638"/>
    <w:rsid w:val="00DF44F5"/>
    <w:rsid w:val="00DF45C8"/>
    <w:rsid w:val="00DF6893"/>
    <w:rsid w:val="00DF691F"/>
    <w:rsid w:val="00DF73FD"/>
    <w:rsid w:val="00E01062"/>
    <w:rsid w:val="00E010FB"/>
    <w:rsid w:val="00E064DF"/>
    <w:rsid w:val="00E072D9"/>
    <w:rsid w:val="00E07687"/>
    <w:rsid w:val="00E10F3B"/>
    <w:rsid w:val="00E10FC6"/>
    <w:rsid w:val="00E1219B"/>
    <w:rsid w:val="00E13418"/>
    <w:rsid w:val="00E138CF"/>
    <w:rsid w:val="00E13B27"/>
    <w:rsid w:val="00E1458A"/>
    <w:rsid w:val="00E16F92"/>
    <w:rsid w:val="00E17CD1"/>
    <w:rsid w:val="00E21316"/>
    <w:rsid w:val="00E21875"/>
    <w:rsid w:val="00E232CF"/>
    <w:rsid w:val="00E23A9D"/>
    <w:rsid w:val="00E2418B"/>
    <w:rsid w:val="00E248D4"/>
    <w:rsid w:val="00E24D66"/>
    <w:rsid w:val="00E24D90"/>
    <w:rsid w:val="00E258C6"/>
    <w:rsid w:val="00E25B5C"/>
    <w:rsid w:val="00E26824"/>
    <w:rsid w:val="00E31808"/>
    <w:rsid w:val="00E32122"/>
    <w:rsid w:val="00E32687"/>
    <w:rsid w:val="00E330A8"/>
    <w:rsid w:val="00E336D7"/>
    <w:rsid w:val="00E34CEF"/>
    <w:rsid w:val="00E35DED"/>
    <w:rsid w:val="00E36389"/>
    <w:rsid w:val="00E36BC0"/>
    <w:rsid w:val="00E3700B"/>
    <w:rsid w:val="00E37A90"/>
    <w:rsid w:val="00E40375"/>
    <w:rsid w:val="00E40EA4"/>
    <w:rsid w:val="00E40FF3"/>
    <w:rsid w:val="00E41439"/>
    <w:rsid w:val="00E424E6"/>
    <w:rsid w:val="00E4260A"/>
    <w:rsid w:val="00E429F1"/>
    <w:rsid w:val="00E42A93"/>
    <w:rsid w:val="00E45160"/>
    <w:rsid w:val="00E453F0"/>
    <w:rsid w:val="00E46928"/>
    <w:rsid w:val="00E46B92"/>
    <w:rsid w:val="00E51919"/>
    <w:rsid w:val="00E51BB3"/>
    <w:rsid w:val="00E51BE2"/>
    <w:rsid w:val="00E52C4A"/>
    <w:rsid w:val="00E549B3"/>
    <w:rsid w:val="00E55246"/>
    <w:rsid w:val="00E5608C"/>
    <w:rsid w:val="00E566A0"/>
    <w:rsid w:val="00E568D7"/>
    <w:rsid w:val="00E56F74"/>
    <w:rsid w:val="00E60FCF"/>
    <w:rsid w:val="00E6125B"/>
    <w:rsid w:val="00E6140E"/>
    <w:rsid w:val="00E61CF0"/>
    <w:rsid w:val="00E62C72"/>
    <w:rsid w:val="00E63A9E"/>
    <w:rsid w:val="00E65D41"/>
    <w:rsid w:val="00E66264"/>
    <w:rsid w:val="00E667C1"/>
    <w:rsid w:val="00E67B72"/>
    <w:rsid w:val="00E67E9E"/>
    <w:rsid w:val="00E70311"/>
    <w:rsid w:val="00E70584"/>
    <w:rsid w:val="00E70E0B"/>
    <w:rsid w:val="00E73443"/>
    <w:rsid w:val="00E73AE7"/>
    <w:rsid w:val="00E73F2D"/>
    <w:rsid w:val="00E743CB"/>
    <w:rsid w:val="00E7442D"/>
    <w:rsid w:val="00E74585"/>
    <w:rsid w:val="00E75266"/>
    <w:rsid w:val="00E75493"/>
    <w:rsid w:val="00E75F5B"/>
    <w:rsid w:val="00E76401"/>
    <w:rsid w:val="00E7673B"/>
    <w:rsid w:val="00E77536"/>
    <w:rsid w:val="00E77C6A"/>
    <w:rsid w:val="00E8025D"/>
    <w:rsid w:val="00E80493"/>
    <w:rsid w:val="00E814A0"/>
    <w:rsid w:val="00E814C1"/>
    <w:rsid w:val="00E82408"/>
    <w:rsid w:val="00E8297D"/>
    <w:rsid w:val="00E82ADB"/>
    <w:rsid w:val="00E83B84"/>
    <w:rsid w:val="00E84A59"/>
    <w:rsid w:val="00E84FF8"/>
    <w:rsid w:val="00E85C4C"/>
    <w:rsid w:val="00E87267"/>
    <w:rsid w:val="00E914F1"/>
    <w:rsid w:val="00E9332D"/>
    <w:rsid w:val="00E93BDA"/>
    <w:rsid w:val="00E94D0D"/>
    <w:rsid w:val="00E9563F"/>
    <w:rsid w:val="00E97998"/>
    <w:rsid w:val="00EA0CE7"/>
    <w:rsid w:val="00EA1D45"/>
    <w:rsid w:val="00EA23D2"/>
    <w:rsid w:val="00EA272D"/>
    <w:rsid w:val="00EA2C9E"/>
    <w:rsid w:val="00EA3E42"/>
    <w:rsid w:val="00EA4B51"/>
    <w:rsid w:val="00EA6BEA"/>
    <w:rsid w:val="00EA6CCD"/>
    <w:rsid w:val="00EB20B4"/>
    <w:rsid w:val="00EB2A95"/>
    <w:rsid w:val="00EB3301"/>
    <w:rsid w:val="00EB4538"/>
    <w:rsid w:val="00EB7593"/>
    <w:rsid w:val="00EC0A16"/>
    <w:rsid w:val="00EC180A"/>
    <w:rsid w:val="00EC1EC6"/>
    <w:rsid w:val="00EC26EF"/>
    <w:rsid w:val="00EC3A7F"/>
    <w:rsid w:val="00EC549A"/>
    <w:rsid w:val="00EC59C9"/>
    <w:rsid w:val="00EC5D30"/>
    <w:rsid w:val="00EC7035"/>
    <w:rsid w:val="00ED13F5"/>
    <w:rsid w:val="00ED1991"/>
    <w:rsid w:val="00ED37F4"/>
    <w:rsid w:val="00ED3D4B"/>
    <w:rsid w:val="00ED4B65"/>
    <w:rsid w:val="00ED52BC"/>
    <w:rsid w:val="00ED5D76"/>
    <w:rsid w:val="00ED623F"/>
    <w:rsid w:val="00ED7F7A"/>
    <w:rsid w:val="00EE2E38"/>
    <w:rsid w:val="00EE6983"/>
    <w:rsid w:val="00EF0043"/>
    <w:rsid w:val="00EF0506"/>
    <w:rsid w:val="00EF09B8"/>
    <w:rsid w:val="00EF0CEF"/>
    <w:rsid w:val="00EF2EC1"/>
    <w:rsid w:val="00EF3E38"/>
    <w:rsid w:val="00EF47BD"/>
    <w:rsid w:val="00EF4DC9"/>
    <w:rsid w:val="00EF6550"/>
    <w:rsid w:val="00EF6D5F"/>
    <w:rsid w:val="00EF6E31"/>
    <w:rsid w:val="00EF7546"/>
    <w:rsid w:val="00F00947"/>
    <w:rsid w:val="00F00CBD"/>
    <w:rsid w:val="00F0132D"/>
    <w:rsid w:val="00F01373"/>
    <w:rsid w:val="00F0144A"/>
    <w:rsid w:val="00F014A6"/>
    <w:rsid w:val="00F01684"/>
    <w:rsid w:val="00F02DD8"/>
    <w:rsid w:val="00F035F7"/>
    <w:rsid w:val="00F059F7"/>
    <w:rsid w:val="00F05CE4"/>
    <w:rsid w:val="00F05E6C"/>
    <w:rsid w:val="00F06F09"/>
    <w:rsid w:val="00F07A38"/>
    <w:rsid w:val="00F121AE"/>
    <w:rsid w:val="00F12AA9"/>
    <w:rsid w:val="00F14A2F"/>
    <w:rsid w:val="00F14E15"/>
    <w:rsid w:val="00F14EE0"/>
    <w:rsid w:val="00F17695"/>
    <w:rsid w:val="00F178F3"/>
    <w:rsid w:val="00F20A5C"/>
    <w:rsid w:val="00F20BEC"/>
    <w:rsid w:val="00F20C38"/>
    <w:rsid w:val="00F20F5C"/>
    <w:rsid w:val="00F218A8"/>
    <w:rsid w:val="00F22AC1"/>
    <w:rsid w:val="00F22C07"/>
    <w:rsid w:val="00F24A3D"/>
    <w:rsid w:val="00F25144"/>
    <w:rsid w:val="00F26C9E"/>
    <w:rsid w:val="00F270CF"/>
    <w:rsid w:val="00F27A2F"/>
    <w:rsid w:val="00F27BC3"/>
    <w:rsid w:val="00F30587"/>
    <w:rsid w:val="00F30C5E"/>
    <w:rsid w:val="00F30E4C"/>
    <w:rsid w:val="00F3171F"/>
    <w:rsid w:val="00F31AB8"/>
    <w:rsid w:val="00F3219E"/>
    <w:rsid w:val="00F326C4"/>
    <w:rsid w:val="00F329D7"/>
    <w:rsid w:val="00F332A0"/>
    <w:rsid w:val="00F33D64"/>
    <w:rsid w:val="00F3739C"/>
    <w:rsid w:val="00F40CF2"/>
    <w:rsid w:val="00F42D4F"/>
    <w:rsid w:val="00F43E47"/>
    <w:rsid w:val="00F44321"/>
    <w:rsid w:val="00F44758"/>
    <w:rsid w:val="00F4555E"/>
    <w:rsid w:val="00F460CD"/>
    <w:rsid w:val="00F46E05"/>
    <w:rsid w:val="00F46F4B"/>
    <w:rsid w:val="00F4732E"/>
    <w:rsid w:val="00F50140"/>
    <w:rsid w:val="00F5082F"/>
    <w:rsid w:val="00F50F60"/>
    <w:rsid w:val="00F516AA"/>
    <w:rsid w:val="00F51AC8"/>
    <w:rsid w:val="00F52C48"/>
    <w:rsid w:val="00F54425"/>
    <w:rsid w:val="00F56728"/>
    <w:rsid w:val="00F570EF"/>
    <w:rsid w:val="00F57718"/>
    <w:rsid w:val="00F60054"/>
    <w:rsid w:val="00F60A02"/>
    <w:rsid w:val="00F6154F"/>
    <w:rsid w:val="00F617C7"/>
    <w:rsid w:val="00F62D95"/>
    <w:rsid w:val="00F63C49"/>
    <w:rsid w:val="00F6488F"/>
    <w:rsid w:val="00F64AA2"/>
    <w:rsid w:val="00F64FBD"/>
    <w:rsid w:val="00F65643"/>
    <w:rsid w:val="00F66CC0"/>
    <w:rsid w:val="00F66D89"/>
    <w:rsid w:val="00F6712F"/>
    <w:rsid w:val="00F7002C"/>
    <w:rsid w:val="00F70267"/>
    <w:rsid w:val="00F7030F"/>
    <w:rsid w:val="00F73DF6"/>
    <w:rsid w:val="00F758C5"/>
    <w:rsid w:val="00F75EE1"/>
    <w:rsid w:val="00F76629"/>
    <w:rsid w:val="00F76B12"/>
    <w:rsid w:val="00F77604"/>
    <w:rsid w:val="00F808B1"/>
    <w:rsid w:val="00F821AB"/>
    <w:rsid w:val="00F82200"/>
    <w:rsid w:val="00F832C8"/>
    <w:rsid w:val="00F8337B"/>
    <w:rsid w:val="00F83845"/>
    <w:rsid w:val="00F83DF1"/>
    <w:rsid w:val="00F83F37"/>
    <w:rsid w:val="00F84E9D"/>
    <w:rsid w:val="00F86D00"/>
    <w:rsid w:val="00F8715C"/>
    <w:rsid w:val="00F91B5F"/>
    <w:rsid w:val="00F91D9E"/>
    <w:rsid w:val="00F92386"/>
    <w:rsid w:val="00F92837"/>
    <w:rsid w:val="00F92A96"/>
    <w:rsid w:val="00F934FA"/>
    <w:rsid w:val="00F94061"/>
    <w:rsid w:val="00F94480"/>
    <w:rsid w:val="00F947FF"/>
    <w:rsid w:val="00F9630E"/>
    <w:rsid w:val="00F9694E"/>
    <w:rsid w:val="00FA00CF"/>
    <w:rsid w:val="00FA0345"/>
    <w:rsid w:val="00FA0544"/>
    <w:rsid w:val="00FA0C28"/>
    <w:rsid w:val="00FA1231"/>
    <w:rsid w:val="00FA1449"/>
    <w:rsid w:val="00FA2736"/>
    <w:rsid w:val="00FA391D"/>
    <w:rsid w:val="00FA5A39"/>
    <w:rsid w:val="00FA7835"/>
    <w:rsid w:val="00FB0B9D"/>
    <w:rsid w:val="00FB41BF"/>
    <w:rsid w:val="00FB484B"/>
    <w:rsid w:val="00FB4BB9"/>
    <w:rsid w:val="00FB6A1A"/>
    <w:rsid w:val="00FB77B4"/>
    <w:rsid w:val="00FC1210"/>
    <w:rsid w:val="00FC3A04"/>
    <w:rsid w:val="00FC4C3B"/>
    <w:rsid w:val="00FC5B85"/>
    <w:rsid w:val="00FC60D2"/>
    <w:rsid w:val="00FC6587"/>
    <w:rsid w:val="00FC6E20"/>
    <w:rsid w:val="00FD18BD"/>
    <w:rsid w:val="00FD239A"/>
    <w:rsid w:val="00FD3BD4"/>
    <w:rsid w:val="00FD43BD"/>
    <w:rsid w:val="00FD43E2"/>
    <w:rsid w:val="00FD462D"/>
    <w:rsid w:val="00FD4811"/>
    <w:rsid w:val="00FD49C7"/>
    <w:rsid w:val="00FD4A3E"/>
    <w:rsid w:val="00FD4F84"/>
    <w:rsid w:val="00FD52B0"/>
    <w:rsid w:val="00FD57FC"/>
    <w:rsid w:val="00FD796C"/>
    <w:rsid w:val="00FE0021"/>
    <w:rsid w:val="00FE019C"/>
    <w:rsid w:val="00FE5128"/>
    <w:rsid w:val="00FE5B00"/>
    <w:rsid w:val="00FE653F"/>
    <w:rsid w:val="00FE67E7"/>
    <w:rsid w:val="00FE744C"/>
    <w:rsid w:val="00FF0251"/>
    <w:rsid w:val="00FF054F"/>
    <w:rsid w:val="00FF0AB1"/>
    <w:rsid w:val="00FF0CBD"/>
    <w:rsid w:val="00FF1161"/>
    <w:rsid w:val="00FF11A6"/>
    <w:rsid w:val="00FF1C4F"/>
    <w:rsid w:val="00FF1E8E"/>
    <w:rsid w:val="00FF277B"/>
    <w:rsid w:val="00FF2BB9"/>
    <w:rsid w:val="00FF2D13"/>
    <w:rsid w:val="00FF2F0C"/>
    <w:rsid w:val="00FF346A"/>
    <w:rsid w:val="00FF3753"/>
    <w:rsid w:val="00FF3801"/>
    <w:rsid w:val="00FF3A8C"/>
    <w:rsid w:val="00FF3C34"/>
    <w:rsid w:val="00FF3C76"/>
    <w:rsid w:val="00FF42FE"/>
    <w:rsid w:val="00FF737B"/>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67BC"/>
  <w15:docId w15:val="{8AADBB8B-F4B5-48A1-9971-0E26AF37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F6"/>
    <w:rPr>
      <w:sz w:val="24"/>
      <w:szCs w:val="24"/>
    </w:rPr>
  </w:style>
  <w:style w:type="paragraph" w:styleId="Naslov1">
    <w:name w:val="heading 1"/>
    <w:basedOn w:val="Normal"/>
    <w:next w:val="Normal"/>
    <w:link w:val="Naslov1Char"/>
    <w:qFormat/>
    <w:pPr>
      <w:keepNext/>
      <w:jc w:val="center"/>
      <w:outlineLvl w:val="0"/>
    </w:pPr>
    <w:rPr>
      <w:b/>
      <w:bCs/>
      <w:sz w:val="28"/>
    </w:rPr>
  </w:style>
  <w:style w:type="paragraph" w:styleId="Naslov2">
    <w:name w:val="heading 2"/>
    <w:basedOn w:val="Normal"/>
    <w:next w:val="Normal"/>
    <w:link w:val="Naslov2Char"/>
    <w:qFormat/>
    <w:pPr>
      <w:keepNext/>
      <w:ind w:left="360"/>
      <w:jc w:val="center"/>
      <w:outlineLvl w:val="1"/>
    </w:pPr>
    <w:rPr>
      <w:b/>
      <w:bCs/>
      <w:sz w:val="28"/>
    </w:rPr>
  </w:style>
  <w:style w:type="paragraph" w:styleId="Naslov3">
    <w:name w:val="heading 3"/>
    <w:basedOn w:val="Normal"/>
    <w:next w:val="Normal"/>
    <w:link w:val="Naslov3Char"/>
    <w:qFormat/>
    <w:pPr>
      <w:keepNext/>
      <w:spacing w:before="240" w:after="60"/>
      <w:outlineLvl w:val="2"/>
    </w:pPr>
    <w:rPr>
      <w:rFonts w:ascii="Arial" w:hAnsi="Arial"/>
      <w:b/>
      <w:bCs/>
      <w:sz w:val="26"/>
      <w:szCs w:val="26"/>
    </w:rPr>
  </w:style>
  <w:style w:type="paragraph" w:styleId="Naslov6">
    <w:name w:val="heading 6"/>
    <w:basedOn w:val="Normal"/>
    <w:next w:val="Normal"/>
    <w:link w:val="Naslov6Char"/>
    <w:qFormat/>
    <w:pPr>
      <w:keepNext/>
      <w:outlineLvl w:val="5"/>
    </w:pPr>
    <w:rPr>
      <w:szCs w:val="20"/>
      <w:lang w:val="en-AU"/>
    </w:rPr>
  </w:style>
  <w:style w:type="paragraph" w:styleId="Naslov8">
    <w:name w:val="heading 8"/>
    <w:basedOn w:val="Normal"/>
    <w:next w:val="Normal"/>
    <w:link w:val="Naslov8Char"/>
    <w:semiHidden/>
    <w:unhideWhenUsed/>
    <w:qFormat/>
    <w:rsid w:val="009C0297"/>
    <w:pPr>
      <w:spacing w:before="240" w:after="60"/>
      <w:outlineLvl w:val="7"/>
    </w:pPr>
    <w:rPr>
      <w:rFonts w:ascii="Calibri" w:hAnsi="Calibri"/>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anka">
    <w:name w:val="članka"/>
    <w:basedOn w:val="Normal"/>
    <w:pPr>
      <w:spacing w:line="360" w:lineRule="auto"/>
    </w:pPr>
  </w:style>
  <w:style w:type="paragraph" w:styleId="Naslov">
    <w:name w:val="Title"/>
    <w:basedOn w:val="Normal"/>
    <w:link w:val="NaslovChar"/>
    <w:qFormat/>
    <w:pPr>
      <w:jc w:val="center"/>
    </w:pPr>
    <w:rPr>
      <w:b/>
      <w:bCs/>
      <w:sz w:val="28"/>
    </w:rPr>
  </w:style>
  <w:style w:type="paragraph" w:styleId="Tijeloteksta">
    <w:name w:val="Body Text"/>
    <w:basedOn w:val="Normal"/>
    <w:link w:val="TijelotekstaChar"/>
    <w:pPr>
      <w:jc w:val="both"/>
    </w:pPr>
    <w:rPr>
      <w:szCs w:val="20"/>
    </w:rPr>
  </w:style>
  <w:style w:type="paragraph" w:styleId="Podnoje">
    <w:name w:val="footer"/>
    <w:basedOn w:val="Normal"/>
    <w:link w:val="PodnojeChar"/>
    <w:rsid w:val="006C1293"/>
    <w:pPr>
      <w:tabs>
        <w:tab w:val="center" w:pos="4536"/>
        <w:tab w:val="right" w:pos="9072"/>
      </w:tabs>
    </w:pPr>
  </w:style>
  <w:style w:type="character" w:styleId="Brojstranice">
    <w:name w:val="page number"/>
    <w:basedOn w:val="Zadanifontodlomka"/>
    <w:rsid w:val="006C1293"/>
  </w:style>
  <w:style w:type="paragraph" w:styleId="Tekstbalonia">
    <w:name w:val="Balloon Text"/>
    <w:basedOn w:val="Normal"/>
    <w:link w:val="TekstbaloniaChar"/>
    <w:semiHidden/>
    <w:rsid w:val="006C54F8"/>
    <w:rPr>
      <w:rFonts w:ascii="Tahoma" w:hAnsi="Tahoma" w:cs="Tahoma"/>
      <w:sz w:val="16"/>
      <w:szCs w:val="16"/>
    </w:rPr>
  </w:style>
  <w:style w:type="paragraph" w:styleId="Kartadokumenta">
    <w:name w:val="Document Map"/>
    <w:basedOn w:val="Normal"/>
    <w:link w:val="KartadokumentaChar"/>
    <w:semiHidden/>
    <w:rsid w:val="00A90F0D"/>
    <w:pPr>
      <w:shd w:val="clear" w:color="auto" w:fill="000080"/>
    </w:pPr>
    <w:rPr>
      <w:rFonts w:ascii="Tahoma" w:hAnsi="Tahoma" w:cs="Tahoma"/>
      <w:sz w:val="20"/>
      <w:szCs w:val="20"/>
    </w:rPr>
  </w:style>
  <w:style w:type="paragraph" w:customStyle="1" w:styleId="Tekstlanka">
    <w:name w:val="Tekst članka"/>
    <w:basedOn w:val="Normal"/>
    <w:rsid w:val="002D7B6A"/>
    <w:pPr>
      <w:widowControl w:val="0"/>
      <w:adjustRightInd w:val="0"/>
      <w:spacing w:line="360" w:lineRule="auto"/>
      <w:jc w:val="both"/>
      <w:textAlignment w:val="baseline"/>
    </w:pPr>
  </w:style>
  <w:style w:type="character" w:styleId="Referencakomentara">
    <w:name w:val="annotation reference"/>
    <w:rsid w:val="003F6B05"/>
    <w:rPr>
      <w:sz w:val="16"/>
      <w:szCs w:val="16"/>
    </w:rPr>
  </w:style>
  <w:style w:type="paragraph" w:styleId="Tekstkomentara">
    <w:name w:val="annotation text"/>
    <w:basedOn w:val="Normal"/>
    <w:link w:val="TekstkomentaraChar"/>
    <w:rsid w:val="003F6B05"/>
    <w:rPr>
      <w:sz w:val="20"/>
      <w:szCs w:val="20"/>
    </w:rPr>
  </w:style>
  <w:style w:type="character" w:customStyle="1" w:styleId="TekstkomentaraChar">
    <w:name w:val="Tekst komentara Char"/>
    <w:basedOn w:val="Zadanifontodlomka"/>
    <w:link w:val="Tekstkomentara"/>
    <w:rsid w:val="003F6B05"/>
  </w:style>
  <w:style w:type="paragraph" w:styleId="Predmetkomentara">
    <w:name w:val="annotation subject"/>
    <w:basedOn w:val="Tekstkomentara"/>
    <w:next w:val="Tekstkomentara"/>
    <w:link w:val="PredmetkomentaraChar"/>
    <w:rsid w:val="003F6B05"/>
    <w:rPr>
      <w:b/>
      <w:bCs/>
      <w:lang w:val="x-none" w:eastAsia="x-none"/>
    </w:rPr>
  </w:style>
  <w:style w:type="character" w:customStyle="1" w:styleId="PredmetkomentaraChar">
    <w:name w:val="Predmet komentara Char"/>
    <w:link w:val="Predmetkomentara"/>
    <w:rsid w:val="003F6B05"/>
    <w:rPr>
      <w:b/>
      <w:bCs/>
    </w:rPr>
  </w:style>
  <w:style w:type="table" w:styleId="Reetkatablice">
    <w:name w:val="Table Grid"/>
    <w:basedOn w:val="Obinatablica"/>
    <w:uiPriority w:val="59"/>
    <w:rsid w:val="00B9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2C747F"/>
    <w:rPr>
      <w:b/>
      <w:bCs/>
    </w:rPr>
  </w:style>
  <w:style w:type="paragraph" w:styleId="Revizija">
    <w:name w:val="Revision"/>
    <w:hidden/>
    <w:uiPriority w:val="99"/>
    <w:semiHidden/>
    <w:rsid w:val="007A3161"/>
    <w:rPr>
      <w:sz w:val="24"/>
      <w:szCs w:val="24"/>
    </w:rPr>
  </w:style>
  <w:style w:type="character" w:customStyle="1" w:styleId="Naslov8Char">
    <w:name w:val="Naslov 8 Char"/>
    <w:link w:val="Naslov8"/>
    <w:semiHidden/>
    <w:rsid w:val="009C0297"/>
    <w:rPr>
      <w:rFonts w:ascii="Calibri" w:eastAsia="Times New Roman" w:hAnsi="Calibri" w:cs="Times New Roman"/>
      <w:i/>
      <w:iCs/>
      <w:sz w:val="24"/>
      <w:szCs w:val="24"/>
    </w:rPr>
  </w:style>
  <w:style w:type="character" w:customStyle="1" w:styleId="Naslov2Char">
    <w:name w:val="Naslov 2 Char"/>
    <w:link w:val="Naslov2"/>
    <w:rsid w:val="009C0297"/>
    <w:rPr>
      <w:b/>
      <w:bCs/>
      <w:sz w:val="28"/>
      <w:szCs w:val="24"/>
    </w:rPr>
  </w:style>
  <w:style w:type="paragraph" w:customStyle="1" w:styleId="Default">
    <w:name w:val="Default"/>
    <w:rsid w:val="005456D7"/>
    <w:pPr>
      <w:autoSpaceDE w:val="0"/>
      <w:autoSpaceDN w:val="0"/>
      <w:adjustRightInd w:val="0"/>
    </w:pPr>
    <w:rPr>
      <w:color w:val="000000"/>
      <w:sz w:val="24"/>
      <w:szCs w:val="24"/>
    </w:rPr>
  </w:style>
  <w:style w:type="paragraph" w:styleId="StandardWeb">
    <w:name w:val="Normal (Web)"/>
    <w:basedOn w:val="Normal"/>
    <w:uiPriority w:val="99"/>
    <w:unhideWhenUsed/>
    <w:rsid w:val="00847367"/>
    <w:pPr>
      <w:spacing w:before="100" w:beforeAutospacing="1" w:after="100" w:afterAutospacing="1"/>
    </w:pPr>
  </w:style>
  <w:style w:type="paragraph" w:styleId="Zaglavlje">
    <w:name w:val="header"/>
    <w:basedOn w:val="Normal"/>
    <w:link w:val="ZaglavljeChar"/>
    <w:rsid w:val="005A1415"/>
    <w:pPr>
      <w:tabs>
        <w:tab w:val="center" w:pos="4536"/>
        <w:tab w:val="right" w:pos="9072"/>
      </w:tabs>
    </w:pPr>
  </w:style>
  <w:style w:type="character" w:customStyle="1" w:styleId="ZaglavljeChar">
    <w:name w:val="Zaglavlje Char"/>
    <w:link w:val="Zaglavlje"/>
    <w:rsid w:val="005A1415"/>
    <w:rPr>
      <w:sz w:val="24"/>
      <w:szCs w:val="24"/>
    </w:rPr>
  </w:style>
  <w:style w:type="character" w:customStyle="1" w:styleId="Naslov1Char">
    <w:name w:val="Naslov 1 Char"/>
    <w:link w:val="Naslov1"/>
    <w:rsid w:val="009E57CF"/>
    <w:rPr>
      <w:b/>
      <w:bCs/>
      <w:sz w:val="28"/>
      <w:szCs w:val="24"/>
    </w:rPr>
  </w:style>
  <w:style w:type="character" w:customStyle="1" w:styleId="NaslovChar">
    <w:name w:val="Naslov Char"/>
    <w:link w:val="Naslov"/>
    <w:rsid w:val="009E57CF"/>
    <w:rPr>
      <w:b/>
      <w:bCs/>
      <w:sz w:val="28"/>
      <w:szCs w:val="24"/>
    </w:rPr>
  </w:style>
  <w:style w:type="character" w:customStyle="1" w:styleId="TijelotekstaChar">
    <w:name w:val="Tijelo teksta Char"/>
    <w:link w:val="Tijeloteksta"/>
    <w:rsid w:val="009E57CF"/>
    <w:rPr>
      <w:sz w:val="24"/>
    </w:rPr>
  </w:style>
  <w:style w:type="paragraph" w:styleId="Tekstfusnote">
    <w:name w:val="footnote text"/>
    <w:aliases w:val="fn,Fußnote,Footnote Text Char Char Char,Footnote Text Char Char,Fuss nota,Tekst fusnote moj,Tekst fusnote moj Char Char,Fus nota casopis,Fus nota casopis Char,Footnote Text2,Fus nota casopis Char1 Char Char Char Char Char Char"/>
    <w:basedOn w:val="Normal"/>
    <w:link w:val="TekstfusnoteChar"/>
    <w:rsid w:val="00FD239A"/>
    <w:rPr>
      <w:sz w:val="20"/>
      <w:szCs w:val="20"/>
    </w:rPr>
  </w:style>
  <w:style w:type="character" w:customStyle="1" w:styleId="TekstfusnoteChar">
    <w:name w:val="Tekst fusnote Char"/>
    <w:aliases w:val="fn Char,Fußnote Char,Footnote Text Char Char Char Char,Footnote Text Char Char Char1,Fuss nota Char,Tekst fusnote moj Char,Tekst fusnote moj Char Char Char,Fus nota casopis Char1,Fus nota casopis Char Char,Footnote Text2 Char"/>
    <w:basedOn w:val="Zadanifontodlomka"/>
    <w:link w:val="Tekstfusnote"/>
    <w:rsid w:val="00FD239A"/>
  </w:style>
  <w:style w:type="paragraph" w:customStyle="1" w:styleId="t-9-8">
    <w:name w:val="t-9-8"/>
    <w:basedOn w:val="Normal"/>
    <w:rsid w:val="00FD239A"/>
    <w:pPr>
      <w:spacing w:before="100" w:beforeAutospacing="1" w:after="100" w:afterAutospacing="1"/>
    </w:pPr>
  </w:style>
  <w:style w:type="numbering" w:customStyle="1" w:styleId="Bezpopisa1">
    <w:name w:val="Bez popisa1"/>
    <w:next w:val="Bezpopisa"/>
    <w:uiPriority w:val="99"/>
    <w:semiHidden/>
    <w:unhideWhenUsed/>
    <w:rsid w:val="00187157"/>
  </w:style>
  <w:style w:type="character" w:customStyle="1" w:styleId="Naslov3Char">
    <w:name w:val="Naslov 3 Char"/>
    <w:link w:val="Naslov3"/>
    <w:rsid w:val="00187157"/>
    <w:rPr>
      <w:rFonts w:ascii="Arial" w:hAnsi="Arial"/>
      <w:b/>
      <w:bCs/>
      <w:sz w:val="26"/>
      <w:szCs w:val="26"/>
    </w:rPr>
  </w:style>
  <w:style w:type="character" w:customStyle="1" w:styleId="Naslov6Char">
    <w:name w:val="Naslov 6 Char"/>
    <w:link w:val="Naslov6"/>
    <w:rsid w:val="00187157"/>
    <w:rPr>
      <w:sz w:val="24"/>
      <w:lang w:val="en-AU"/>
    </w:rPr>
  </w:style>
  <w:style w:type="character" w:customStyle="1" w:styleId="PodnojeChar">
    <w:name w:val="Podnožje Char"/>
    <w:link w:val="Podnoje"/>
    <w:rsid w:val="00187157"/>
    <w:rPr>
      <w:sz w:val="24"/>
      <w:szCs w:val="24"/>
    </w:rPr>
  </w:style>
  <w:style w:type="character" w:customStyle="1" w:styleId="TekstbaloniaChar">
    <w:name w:val="Tekst balončića Char"/>
    <w:link w:val="Tekstbalonia"/>
    <w:semiHidden/>
    <w:rsid w:val="00187157"/>
    <w:rPr>
      <w:rFonts w:ascii="Tahoma" w:hAnsi="Tahoma" w:cs="Tahoma"/>
      <w:sz w:val="16"/>
      <w:szCs w:val="16"/>
    </w:rPr>
  </w:style>
  <w:style w:type="character" w:customStyle="1" w:styleId="KartadokumentaChar">
    <w:name w:val="Karta dokumenta Char"/>
    <w:link w:val="Kartadokumenta"/>
    <w:semiHidden/>
    <w:rsid w:val="00187157"/>
    <w:rPr>
      <w:rFonts w:ascii="Tahoma" w:hAnsi="Tahoma" w:cs="Tahoma"/>
      <w:shd w:val="clear" w:color="auto" w:fill="000080"/>
    </w:rPr>
  </w:style>
  <w:style w:type="table" w:customStyle="1" w:styleId="Reetkatablice1">
    <w:name w:val="Rešetka tablice1"/>
    <w:basedOn w:val="Obinatablica"/>
    <w:next w:val="Reetkatablice"/>
    <w:uiPriority w:val="59"/>
    <w:rsid w:val="0018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E51BB3"/>
    <w:pPr>
      <w:spacing w:before="100" w:beforeAutospacing="1" w:after="100" w:afterAutospacing="1"/>
    </w:pPr>
  </w:style>
  <w:style w:type="paragraph" w:customStyle="1" w:styleId="xmsonormal">
    <w:name w:val="x_msonormal"/>
    <w:basedOn w:val="Normal"/>
    <w:rsid w:val="00E51BB3"/>
    <w:pPr>
      <w:spacing w:before="100" w:beforeAutospacing="1" w:after="100" w:afterAutospacing="1"/>
    </w:pPr>
  </w:style>
  <w:style w:type="character" w:styleId="Istaknuto">
    <w:name w:val="Emphasis"/>
    <w:basedOn w:val="Zadanifontodlomka"/>
    <w:uiPriority w:val="20"/>
    <w:qFormat/>
    <w:rsid w:val="00A8274B"/>
    <w:rPr>
      <w:i/>
      <w:iCs/>
    </w:rPr>
  </w:style>
  <w:style w:type="paragraph" w:styleId="Odlomakpopisa">
    <w:name w:val="List Paragraph"/>
    <w:basedOn w:val="Normal"/>
    <w:link w:val="OdlomakpopisaChar"/>
    <w:uiPriority w:val="34"/>
    <w:qFormat/>
    <w:rsid w:val="00F66D89"/>
    <w:pPr>
      <w:ind w:left="720"/>
      <w:contextualSpacing/>
    </w:pPr>
  </w:style>
  <w:style w:type="character" w:customStyle="1" w:styleId="OdlomakpopisaChar">
    <w:name w:val="Odlomak popisa Char"/>
    <w:link w:val="Odlomakpopisa"/>
    <w:uiPriority w:val="99"/>
    <w:locked/>
    <w:rsid w:val="00EA6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3">
      <w:bodyDiv w:val="1"/>
      <w:marLeft w:val="0"/>
      <w:marRight w:val="0"/>
      <w:marTop w:val="0"/>
      <w:marBottom w:val="0"/>
      <w:divBdr>
        <w:top w:val="none" w:sz="0" w:space="0" w:color="auto"/>
        <w:left w:val="none" w:sz="0" w:space="0" w:color="auto"/>
        <w:bottom w:val="none" w:sz="0" w:space="0" w:color="auto"/>
        <w:right w:val="none" w:sz="0" w:space="0" w:color="auto"/>
      </w:divBdr>
    </w:div>
    <w:div w:id="477864">
      <w:bodyDiv w:val="1"/>
      <w:marLeft w:val="0"/>
      <w:marRight w:val="0"/>
      <w:marTop w:val="0"/>
      <w:marBottom w:val="0"/>
      <w:divBdr>
        <w:top w:val="none" w:sz="0" w:space="0" w:color="auto"/>
        <w:left w:val="none" w:sz="0" w:space="0" w:color="auto"/>
        <w:bottom w:val="none" w:sz="0" w:space="0" w:color="auto"/>
        <w:right w:val="none" w:sz="0" w:space="0" w:color="auto"/>
      </w:divBdr>
    </w:div>
    <w:div w:id="1397668">
      <w:bodyDiv w:val="1"/>
      <w:marLeft w:val="0"/>
      <w:marRight w:val="0"/>
      <w:marTop w:val="0"/>
      <w:marBottom w:val="0"/>
      <w:divBdr>
        <w:top w:val="none" w:sz="0" w:space="0" w:color="auto"/>
        <w:left w:val="none" w:sz="0" w:space="0" w:color="auto"/>
        <w:bottom w:val="none" w:sz="0" w:space="0" w:color="auto"/>
        <w:right w:val="none" w:sz="0" w:space="0" w:color="auto"/>
      </w:divBdr>
    </w:div>
    <w:div w:id="4484931">
      <w:bodyDiv w:val="1"/>
      <w:marLeft w:val="0"/>
      <w:marRight w:val="0"/>
      <w:marTop w:val="0"/>
      <w:marBottom w:val="0"/>
      <w:divBdr>
        <w:top w:val="none" w:sz="0" w:space="0" w:color="auto"/>
        <w:left w:val="none" w:sz="0" w:space="0" w:color="auto"/>
        <w:bottom w:val="none" w:sz="0" w:space="0" w:color="auto"/>
        <w:right w:val="none" w:sz="0" w:space="0" w:color="auto"/>
      </w:divBdr>
    </w:div>
    <w:div w:id="16469221">
      <w:bodyDiv w:val="1"/>
      <w:marLeft w:val="0"/>
      <w:marRight w:val="0"/>
      <w:marTop w:val="0"/>
      <w:marBottom w:val="0"/>
      <w:divBdr>
        <w:top w:val="none" w:sz="0" w:space="0" w:color="auto"/>
        <w:left w:val="none" w:sz="0" w:space="0" w:color="auto"/>
        <w:bottom w:val="none" w:sz="0" w:space="0" w:color="auto"/>
        <w:right w:val="none" w:sz="0" w:space="0" w:color="auto"/>
      </w:divBdr>
    </w:div>
    <w:div w:id="30814258">
      <w:bodyDiv w:val="1"/>
      <w:marLeft w:val="0"/>
      <w:marRight w:val="0"/>
      <w:marTop w:val="0"/>
      <w:marBottom w:val="0"/>
      <w:divBdr>
        <w:top w:val="none" w:sz="0" w:space="0" w:color="auto"/>
        <w:left w:val="none" w:sz="0" w:space="0" w:color="auto"/>
        <w:bottom w:val="none" w:sz="0" w:space="0" w:color="auto"/>
        <w:right w:val="none" w:sz="0" w:space="0" w:color="auto"/>
      </w:divBdr>
    </w:div>
    <w:div w:id="33236112">
      <w:bodyDiv w:val="1"/>
      <w:marLeft w:val="0"/>
      <w:marRight w:val="0"/>
      <w:marTop w:val="0"/>
      <w:marBottom w:val="0"/>
      <w:divBdr>
        <w:top w:val="none" w:sz="0" w:space="0" w:color="auto"/>
        <w:left w:val="none" w:sz="0" w:space="0" w:color="auto"/>
        <w:bottom w:val="none" w:sz="0" w:space="0" w:color="auto"/>
        <w:right w:val="none" w:sz="0" w:space="0" w:color="auto"/>
      </w:divBdr>
    </w:div>
    <w:div w:id="35281558">
      <w:bodyDiv w:val="1"/>
      <w:marLeft w:val="0"/>
      <w:marRight w:val="0"/>
      <w:marTop w:val="0"/>
      <w:marBottom w:val="0"/>
      <w:divBdr>
        <w:top w:val="none" w:sz="0" w:space="0" w:color="auto"/>
        <w:left w:val="none" w:sz="0" w:space="0" w:color="auto"/>
        <w:bottom w:val="none" w:sz="0" w:space="0" w:color="auto"/>
        <w:right w:val="none" w:sz="0" w:space="0" w:color="auto"/>
      </w:divBdr>
    </w:div>
    <w:div w:id="37821900">
      <w:bodyDiv w:val="1"/>
      <w:marLeft w:val="0"/>
      <w:marRight w:val="0"/>
      <w:marTop w:val="0"/>
      <w:marBottom w:val="0"/>
      <w:divBdr>
        <w:top w:val="none" w:sz="0" w:space="0" w:color="auto"/>
        <w:left w:val="none" w:sz="0" w:space="0" w:color="auto"/>
        <w:bottom w:val="none" w:sz="0" w:space="0" w:color="auto"/>
        <w:right w:val="none" w:sz="0" w:space="0" w:color="auto"/>
      </w:divBdr>
    </w:div>
    <w:div w:id="40401965">
      <w:bodyDiv w:val="1"/>
      <w:marLeft w:val="0"/>
      <w:marRight w:val="0"/>
      <w:marTop w:val="0"/>
      <w:marBottom w:val="0"/>
      <w:divBdr>
        <w:top w:val="none" w:sz="0" w:space="0" w:color="auto"/>
        <w:left w:val="none" w:sz="0" w:space="0" w:color="auto"/>
        <w:bottom w:val="none" w:sz="0" w:space="0" w:color="auto"/>
        <w:right w:val="none" w:sz="0" w:space="0" w:color="auto"/>
      </w:divBdr>
    </w:div>
    <w:div w:id="42600827">
      <w:bodyDiv w:val="1"/>
      <w:marLeft w:val="0"/>
      <w:marRight w:val="0"/>
      <w:marTop w:val="0"/>
      <w:marBottom w:val="0"/>
      <w:divBdr>
        <w:top w:val="none" w:sz="0" w:space="0" w:color="auto"/>
        <w:left w:val="none" w:sz="0" w:space="0" w:color="auto"/>
        <w:bottom w:val="none" w:sz="0" w:space="0" w:color="auto"/>
        <w:right w:val="none" w:sz="0" w:space="0" w:color="auto"/>
      </w:divBdr>
    </w:div>
    <w:div w:id="44958070">
      <w:bodyDiv w:val="1"/>
      <w:marLeft w:val="0"/>
      <w:marRight w:val="0"/>
      <w:marTop w:val="0"/>
      <w:marBottom w:val="0"/>
      <w:divBdr>
        <w:top w:val="none" w:sz="0" w:space="0" w:color="auto"/>
        <w:left w:val="none" w:sz="0" w:space="0" w:color="auto"/>
        <w:bottom w:val="none" w:sz="0" w:space="0" w:color="auto"/>
        <w:right w:val="none" w:sz="0" w:space="0" w:color="auto"/>
      </w:divBdr>
    </w:div>
    <w:div w:id="46801160">
      <w:bodyDiv w:val="1"/>
      <w:marLeft w:val="0"/>
      <w:marRight w:val="0"/>
      <w:marTop w:val="0"/>
      <w:marBottom w:val="0"/>
      <w:divBdr>
        <w:top w:val="none" w:sz="0" w:space="0" w:color="auto"/>
        <w:left w:val="none" w:sz="0" w:space="0" w:color="auto"/>
        <w:bottom w:val="none" w:sz="0" w:space="0" w:color="auto"/>
        <w:right w:val="none" w:sz="0" w:space="0" w:color="auto"/>
      </w:divBdr>
    </w:div>
    <w:div w:id="50811915">
      <w:bodyDiv w:val="1"/>
      <w:marLeft w:val="0"/>
      <w:marRight w:val="0"/>
      <w:marTop w:val="0"/>
      <w:marBottom w:val="0"/>
      <w:divBdr>
        <w:top w:val="none" w:sz="0" w:space="0" w:color="auto"/>
        <w:left w:val="none" w:sz="0" w:space="0" w:color="auto"/>
        <w:bottom w:val="none" w:sz="0" w:space="0" w:color="auto"/>
        <w:right w:val="none" w:sz="0" w:space="0" w:color="auto"/>
      </w:divBdr>
    </w:div>
    <w:div w:id="60253902">
      <w:bodyDiv w:val="1"/>
      <w:marLeft w:val="0"/>
      <w:marRight w:val="0"/>
      <w:marTop w:val="0"/>
      <w:marBottom w:val="0"/>
      <w:divBdr>
        <w:top w:val="none" w:sz="0" w:space="0" w:color="auto"/>
        <w:left w:val="none" w:sz="0" w:space="0" w:color="auto"/>
        <w:bottom w:val="none" w:sz="0" w:space="0" w:color="auto"/>
        <w:right w:val="none" w:sz="0" w:space="0" w:color="auto"/>
      </w:divBdr>
    </w:div>
    <w:div w:id="78136756">
      <w:bodyDiv w:val="1"/>
      <w:marLeft w:val="0"/>
      <w:marRight w:val="0"/>
      <w:marTop w:val="0"/>
      <w:marBottom w:val="0"/>
      <w:divBdr>
        <w:top w:val="none" w:sz="0" w:space="0" w:color="auto"/>
        <w:left w:val="none" w:sz="0" w:space="0" w:color="auto"/>
        <w:bottom w:val="none" w:sz="0" w:space="0" w:color="auto"/>
        <w:right w:val="none" w:sz="0" w:space="0" w:color="auto"/>
      </w:divBdr>
    </w:div>
    <w:div w:id="79065514">
      <w:bodyDiv w:val="1"/>
      <w:marLeft w:val="0"/>
      <w:marRight w:val="0"/>
      <w:marTop w:val="0"/>
      <w:marBottom w:val="0"/>
      <w:divBdr>
        <w:top w:val="none" w:sz="0" w:space="0" w:color="auto"/>
        <w:left w:val="none" w:sz="0" w:space="0" w:color="auto"/>
        <w:bottom w:val="none" w:sz="0" w:space="0" w:color="auto"/>
        <w:right w:val="none" w:sz="0" w:space="0" w:color="auto"/>
      </w:divBdr>
    </w:div>
    <w:div w:id="80104189">
      <w:bodyDiv w:val="1"/>
      <w:marLeft w:val="0"/>
      <w:marRight w:val="0"/>
      <w:marTop w:val="0"/>
      <w:marBottom w:val="0"/>
      <w:divBdr>
        <w:top w:val="none" w:sz="0" w:space="0" w:color="auto"/>
        <w:left w:val="none" w:sz="0" w:space="0" w:color="auto"/>
        <w:bottom w:val="none" w:sz="0" w:space="0" w:color="auto"/>
        <w:right w:val="none" w:sz="0" w:space="0" w:color="auto"/>
      </w:divBdr>
    </w:div>
    <w:div w:id="83188718">
      <w:bodyDiv w:val="1"/>
      <w:marLeft w:val="0"/>
      <w:marRight w:val="0"/>
      <w:marTop w:val="0"/>
      <w:marBottom w:val="0"/>
      <w:divBdr>
        <w:top w:val="none" w:sz="0" w:space="0" w:color="auto"/>
        <w:left w:val="none" w:sz="0" w:space="0" w:color="auto"/>
        <w:bottom w:val="none" w:sz="0" w:space="0" w:color="auto"/>
        <w:right w:val="none" w:sz="0" w:space="0" w:color="auto"/>
      </w:divBdr>
    </w:div>
    <w:div w:id="86662954">
      <w:bodyDiv w:val="1"/>
      <w:marLeft w:val="0"/>
      <w:marRight w:val="0"/>
      <w:marTop w:val="0"/>
      <w:marBottom w:val="0"/>
      <w:divBdr>
        <w:top w:val="none" w:sz="0" w:space="0" w:color="auto"/>
        <w:left w:val="none" w:sz="0" w:space="0" w:color="auto"/>
        <w:bottom w:val="none" w:sz="0" w:space="0" w:color="auto"/>
        <w:right w:val="none" w:sz="0" w:space="0" w:color="auto"/>
      </w:divBdr>
    </w:div>
    <w:div w:id="95486403">
      <w:bodyDiv w:val="1"/>
      <w:marLeft w:val="0"/>
      <w:marRight w:val="0"/>
      <w:marTop w:val="0"/>
      <w:marBottom w:val="0"/>
      <w:divBdr>
        <w:top w:val="none" w:sz="0" w:space="0" w:color="auto"/>
        <w:left w:val="none" w:sz="0" w:space="0" w:color="auto"/>
        <w:bottom w:val="none" w:sz="0" w:space="0" w:color="auto"/>
        <w:right w:val="none" w:sz="0" w:space="0" w:color="auto"/>
      </w:divBdr>
    </w:div>
    <w:div w:id="102726734">
      <w:bodyDiv w:val="1"/>
      <w:marLeft w:val="0"/>
      <w:marRight w:val="0"/>
      <w:marTop w:val="0"/>
      <w:marBottom w:val="0"/>
      <w:divBdr>
        <w:top w:val="none" w:sz="0" w:space="0" w:color="auto"/>
        <w:left w:val="none" w:sz="0" w:space="0" w:color="auto"/>
        <w:bottom w:val="none" w:sz="0" w:space="0" w:color="auto"/>
        <w:right w:val="none" w:sz="0" w:space="0" w:color="auto"/>
      </w:divBdr>
    </w:div>
    <w:div w:id="113136727">
      <w:bodyDiv w:val="1"/>
      <w:marLeft w:val="0"/>
      <w:marRight w:val="0"/>
      <w:marTop w:val="0"/>
      <w:marBottom w:val="0"/>
      <w:divBdr>
        <w:top w:val="none" w:sz="0" w:space="0" w:color="auto"/>
        <w:left w:val="none" w:sz="0" w:space="0" w:color="auto"/>
        <w:bottom w:val="none" w:sz="0" w:space="0" w:color="auto"/>
        <w:right w:val="none" w:sz="0" w:space="0" w:color="auto"/>
      </w:divBdr>
    </w:div>
    <w:div w:id="114374913">
      <w:bodyDiv w:val="1"/>
      <w:marLeft w:val="0"/>
      <w:marRight w:val="0"/>
      <w:marTop w:val="0"/>
      <w:marBottom w:val="0"/>
      <w:divBdr>
        <w:top w:val="none" w:sz="0" w:space="0" w:color="auto"/>
        <w:left w:val="none" w:sz="0" w:space="0" w:color="auto"/>
        <w:bottom w:val="none" w:sz="0" w:space="0" w:color="auto"/>
        <w:right w:val="none" w:sz="0" w:space="0" w:color="auto"/>
      </w:divBdr>
    </w:div>
    <w:div w:id="114908442">
      <w:bodyDiv w:val="1"/>
      <w:marLeft w:val="0"/>
      <w:marRight w:val="0"/>
      <w:marTop w:val="0"/>
      <w:marBottom w:val="0"/>
      <w:divBdr>
        <w:top w:val="none" w:sz="0" w:space="0" w:color="auto"/>
        <w:left w:val="none" w:sz="0" w:space="0" w:color="auto"/>
        <w:bottom w:val="none" w:sz="0" w:space="0" w:color="auto"/>
        <w:right w:val="none" w:sz="0" w:space="0" w:color="auto"/>
      </w:divBdr>
    </w:div>
    <w:div w:id="118686876">
      <w:bodyDiv w:val="1"/>
      <w:marLeft w:val="0"/>
      <w:marRight w:val="0"/>
      <w:marTop w:val="0"/>
      <w:marBottom w:val="0"/>
      <w:divBdr>
        <w:top w:val="none" w:sz="0" w:space="0" w:color="auto"/>
        <w:left w:val="none" w:sz="0" w:space="0" w:color="auto"/>
        <w:bottom w:val="none" w:sz="0" w:space="0" w:color="auto"/>
        <w:right w:val="none" w:sz="0" w:space="0" w:color="auto"/>
      </w:divBdr>
    </w:div>
    <w:div w:id="121923220">
      <w:bodyDiv w:val="1"/>
      <w:marLeft w:val="0"/>
      <w:marRight w:val="0"/>
      <w:marTop w:val="0"/>
      <w:marBottom w:val="0"/>
      <w:divBdr>
        <w:top w:val="none" w:sz="0" w:space="0" w:color="auto"/>
        <w:left w:val="none" w:sz="0" w:space="0" w:color="auto"/>
        <w:bottom w:val="none" w:sz="0" w:space="0" w:color="auto"/>
        <w:right w:val="none" w:sz="0" w:space="0" w:color="auto"/>
      </w:divBdr>
    </w:div>
    <w:div w:id="124781623">
      <w:bodyDiv w:val="1"/>
      <w:marLeft w:val="0"/>
      <w:marRight w:val="0"/>
      <w:marTop w:val="0"/>
      <w:marBottom w:val="0"/>
      <w:divBdr>
        <w:top w:val="none" w:sz="0" w:space="0" w:color="auto"/>
        <w:left w:val="none" w:sz="0" w:space="0" w:color="auto"/>
        <w:bottom w:val="none" w:sz="0" w:space="0" w:color="auto"/>
        <w:right w:val="none" w:sz="0" w:space="0" w:color="auto"/>
      </w:divBdr>
    </w:div>
    <w:div w:id="126361795">
      <w:bodyDiv w:val="1"/>
      <w:marLeft w:val="0"/>
      <w:marRight w:val="0"/>
      <w:marTop w:val="0"/>
      <w:marBottom w:val="0"/>
      <w:divBdr>
        <w:top w:val="none" w:sz="0" w:space="0" w:color="auto"/>
        <w:left w:val="none" w:sz="0" w:space="0" w:color="auto"/>
        <w:bottom w:val="none" w:sz="0" w:space="0" w:color="auto"/>
        <w:right w:val="none" w:sz="0" w:space="0" w:color="auto"/>
      </w:divBdr>
    </w:div>
    <w:div w:id="126775657">
      <w:bodyDiv w:val="1"/>
      <w:marLeft w:val="0"/>
      <w:marRight w:val="0"/>
      <w:marTop w:val="0"/>
      <w:marBottom w:val="0"/>
      <w:divBdr>
        <w:top w:val="none" w:sz="0" w:space="0" w:color="auto"/>
        <w:left w:val="none" w:sz="0" w:space="0" w:color="auto"/>
        <w:bottom w:val="none" w:sz="0" w:space="0" w:color="auto"/>
        <w:right w:val="none" w:sz="0" w:space="0" w:color="auto"/>
      </w:divBdr>
    </w:div>
    <w:div w:id="127362528">
      <w:bodyDiv w:val="1"/>
      <w:marLeft w:val="0"/>
      <w:marRight w:val="0"/>
      <w:marTop w:val="0"/>
      <w:marBottom w:val="0"/>
      <w:divBdr>
        <w:top w:val="none" w:sz="0" w:space="0" w:color="auto"/>
        <w:left w:val="none" w:sz="0" w:space="0" w:color="auto"/>
        <w:bottom w:val="none" w:sz="0" w:space="0" w:color="auto"/>
        <w:right w:val="none" w:sz="0" w:space="0" w:color="auto"/>
      </w:divBdr>
    </w:div>
    <w:div w:id="127818657">
      <w:bodyDiv w:val="1"/>
      <w:marLeft w:val="0"/>
      <w:marRight w:val="0"/>
      <w:marTop w:val="0"/>
      <w:marBottom w:val="0"/>
      <w:divBdr>
        <w:top w:val="none" w:sz="0" w:space="0" w:color="auto"/>
        <w:left w:val="none" w:sz="0" w:space="0" w:color="auto"/>
        <w:bottom w:val="none" w:sz="0" w:space="0" w:color="auto"/>
        <w:right w:val="none" w:sz="0" w:space="0" w:color="auto"/>
      </w:divBdr>
    </w:div>
    <w:div w:id="132141043">
      <w:bodyDiv w:val="1"/>
      <w:marLeft w:val="0"/>
      <w:marRight w:val="0"/>
      <w:marTop w:val="0"/>
      <w:marBottom w:val="0"/>
      <w:divBdr>
        <w:top w:val="none" w:sz="0" w:space="0" w:color="auto"/>
        <w:left w:val="none" w:sz="0" w:space="0" w:color="auto"/>
        <w:bottom w:val="none" w:sz="0" w:space="0" w:color="auto"/>
        <w:right w:val="none" w:sz="0" w:space="0" w:color="auto"/>
      </w:divBdr>
    </w:div>
    <w:div w:id="133834033">
      <w:bodyDiv w:val="1"/>
      <w:marLeft w:val="0"/>
      <w:marRight w:val="0"/>
      <w:marTop w:val="0"/>
      <w:marBottom w:val="0"/>
      <w:divBdr>
        <w:top w:val="none" w:sz="0" w:space="0" w:color="auto"/>
        <w:left w:val="none" w:sz="0" w:space="0" w:color="auto"/>
        <w:bottom w:val="none" w:sz="0" w:space="0" w:color="auto"/>
        <w:right w:val="none" w:sz="0" w:space="0" w:color="auto"/>
      </w:divBdr>
    </w:div>
    <w:div w:id="137579240">
      <w:bodyDiv w:val="1"/>
      <w:marLeft w:val="0"/>
      <w:marRight w:val="0"/>
      <w:marTop w:val="0"/>
      <w:marBottom w:val="0"/>
      <w:divBdr>
        <w:top w:val="none" w:sz="0" w:space="0" w:color="auto"/>
        <w:left w:val="none" w:sz="0" w:space="0" w:color="auto"/>
        <w:bottom w:val="none" w:sz="0" w:space="0" w:color="auto"/>
        <w:right w:val="none" w:sz="0" w:space="0" w:color="auto"/>
      </w:divBdr>
    </w:div>
    <w:div w:id="147133812">
      <w:bodyDiv w:val="1"/>
      <w:marLeft w:val="0"/>
      <w:marRight w:val="0"/>
      <w:marTop w:val="0"/>
      <w:marBottom w:val="0"/>
      <w:divBdr>
        <w:top w:val="none" w:sz="0" w:space="0" w:color="auto"/>
        <w:left w:val="none" w:sz="0" w:space="0" w:color="auto"/>
        <w:bottom w:val="none" w:sz="0" w:space="0" w:color="auto"/>
        <w:right w:val="none" w:sz="0" w:space="0" w:color="auto"/>
      </w:divBdr>
    </w:div>
    <w:div w:id="157427258">
      <w:bodyDiv w:val="1"/>
      <w:marLeft w:val="0"/>
      <w:marRight w:val="0"/>
      <w:marTop w:val="0"/>
      <w:marBottom w:val="0"/>
      <w:divBdr>
        <w:top w:val="none" w:sz="0" w:space="0" w:color="auto"/>
        <w:left w:val="none" w:sz="0" w:space="0" w:color="auto"/>
        <w:bottom w:val="none" w:sz="0" w:space="0" w:color="auto"/>
        <w:right w:val="none" w:sz="0" w:space="0" w:color="auto"/>
      </w:divBdr>
    </w:div>
    <w:div w:id="179508704">
      <w:bodyDiv w:val="1"/>
      <w:marLeft w:val="0"/>
      <w:marRight w:val="0"/>
      <w:marTop w:val="0"/>
      <w:marBottom w:val="0"/>
      <w:divBdr>
        <w:top w:val="none" w:sz="0" w:space="0" w:color="auto"/>
        <w:left w:val="none" w:sz="0" w:space="0" w:color="auto"/>
        <w:bottom w:val="none" w:sz="0" w:space="0" w:color="auto"/>
        <w:right w:val="none" w:sz="0" w:space="0" w:color="auto"/>
      </w:divBdr>
    </w:div>
    <w:div w:id="179781708">
      <w:bodyDiv w:val="1"/>
      <w:marLeft w:val="0"/>
      <w:marRight w:val="0"/>
      <w:marTop w:val="0"/>
      <w:marBottom w:val="0"/>
      <w:divBdr>
        <w:top w:val="none" w:sz="0" w:space="0" w:color="auto"/>
        <w:left w:val="none" w:sz="0" w:space="0" w:color="auto"/>
        <w:bottom w:val="none" w:sz="0" w:space="0" w:color="auto"/>
        <w:right w:val="none" w:sz="0" w:space="0" w:color="auto"/>
      </w:divBdr>
    </w:div>
    <w:div w:id="181870094">
      <w:bodyDiv w:val="1"/>
      <w:marLeft w:val="0"/>
      <w:marRight w:val="0"/>
      <w:marTop w:val="0"/>
      <w:marBottom w:val="0"/>
      <w:divBdr>
        <w:top w:val="none" w:sz="0" w:space="0" w:color="auto"/>
        <w:left w:val="none" w:sz="0" w:space="0" w:color="auto"/>
        <w:bottom w:val="none" w:sz="0" w:space="0" w:color="auto"/>
        <w:right w:val="none" w:sz="0" w:space="0" w:color="auto"/>
      </w:divBdr>
    </w:div>
    <w:div w:id="183519010">
      <w:bodyDiv w:val="1"/>
      <w:marLeft w:val="0"/>
      <w:marRight w:val="0"/>
      <w:marTop w:val="0"/>
      <w:marBottom w:val="0"/>
      <w:divBdr>
        <w:top w:val="none" w:sz="0" w:space="0" w:color="auto"/>
        <w:left w:val="none" w:sz="0" w:space="0" w:color="auto"/>
        <w:bottom w:val="none" w:sz="0" w:space="0" w:color="auto"/>
        <w:right w:val="none" w:sz="0" w:space="0" w:color="auto"/>
      </w:divBdr>
    </w:div>
    <w:div w:id="188301500">
      <w:bodyDiv w:val="1"/>
      <w:marLeft w:val="0"/>
      <w:marRight w:val="0"/>
      <w:marTop w:val="0"/>
      <w:marBottom w:val="0"/>
      <w:divBdr>
        <w:top w:val="none" w:sz="0" w:space="0" w:color="auto"/>
        <w:left w:val="none" w:sz="0" w:space="0" w:color="auto"/>
        <w:bottom w:val="none" w:sz="0" w:space="0" w:color="auto"/>
        <w:right w:val="none" w:sz="0" w:space="0" w:color="auto"/>
      </w:divBdr>
    </w:div>
    <w:div w:id="188644705">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215046221">
      <w:bodyDiv w:val="1"/>
      <w:marLeft w:val="0"/>
      <w:marRight w:val="0"/>
      <w:marTop w:val="0"/>
      <w:marBottom w:val="0"/>
      <w:divBdr>
        <w:top w:val="none" w:sz="0" w:space="0" w:color="auto"/>
        <w:left w:val="none" w:sz="0" w:space="0" w:color="auto"/>
        <w:bottom w:val="none" w:sz="0" w:space="0" w:color="auto"/>
        <w:right w:val="none" w:sz="0" w:space="0" w:color="auto"/>
      </w:divBdr>
    </w:div>
    <w:div w:id="219218616">
      <w:bodyDiv w:val="1"/>
      <w:marLeft w:val="0"/>
      <w:marRight w:val="0"/>
      <w:marTop w:val="0"/>
      <w:marBottom w:val="0"/>
      <w:divBdr>
        <w:top w:val="none" w:sz="0" w:space="0" w:color="auto"/>
        <w:left w:val="none" w:sz="0" w:space="0" w:color="auto"/>
        <w:bottom w:val="none" w:sz="0" w:space="0" w:color="auto"/>
        <w:right w:val="none" w:sz="0" w:space="0" w:color="auto"/>
      </w:divBdr>
    </w:div>
    <w:div w:id="219756769">
      <w:bodyDiv w:val="1"/>
      <w:marLeft w:val="0"/>
      <w:marRight w:val="0"/>
      <w:marTop w:val="0"/>
      <w:marBottom w:val="0"/>
      <w:divBdr>
        <w:top w:val="none" w:sz="0" w:space="0" w:color="auto"/>
        <w:left w:val="none" w:sz="0" w:space="0" w:color="auto"/>
        <w:bottom w:val="none" w:sz="0" w:space="0" w:color="auto"/>
        <w:right w:val="none" w:sz="0" w:space="0" w:color="auto"/>
      </w:divBdr>
    </w:div>
    <w:div w:id="220942784">
      <w:bodyDiv w:val="1"/>
      <w:marLeft w:val="0"/>
      <w:marRight w:val="0"/>
      <w:marTop w:val="0"/>
      <w:marBottom w:val="0"/>
      <w:divBdr>
        <w:top w:val="none" w:sz="0" w:space="0" w:color="auto"/>
        <w:left w:val="none" w:sz="0" w:space="0" w:color="auto"/>
        <w:bottom w:val="none" w:sz="0" w:space="0" w:color="auto"/>
        <w:right w:val="none" w:sz="0" w:space="0" w:color="auto"/>
      </w:divBdr>
    </w:div>
    <w:div w:id="233443157">
      <w:bodyDiv w:val="1"/>
      <w:marLeft w:val="0"/>
      <w:marRight w:val="0"/>
      <w:marTop w:val="0"/>
      <w:marBottom w:val="0"/>
      <w:divBdr>
        <w:top w:val="none" w:sz="0" w:space="0" w:color="auto"/>
        <w:left w:val="none" w:sz="0" w:space="0" w:color="auto"/>
        <w:bottom w:val="none" w:sz="0" w:space="0" w:color="auto"/>
        <w:right w:val="none" w:sz="0" w:space="0" w:color="auto"/>
      </w:divBdr>
    </w:div>
    <w:div w:id="242181972">
      <w:bodyDiv w:val="1"/>
      <w:marLeft w:val="0"/>
      <w:marRight w:val="0"/>
      <w:marTop w:val="0"/>
      <w:marBottom w:val="0"/>
      <w:divBdr>
        <w:top w:val="none" w:sz="0" w:space="0" w:color="auto"/>
        <w:left w:val="none" w:sz="0" w:space="0" w:color="auto"/>
        <w:bottom w:val="none" w:sz="0" w:space="0" w:color="auto"/>
        <w:right w:val="none" w:sz="0" w:space="0" w:color="auto"/>
      </w:divBdr>
      <w:divsChild>
        <w:div w:id="327177741">
          <w:marLeft w:val="0"/>
          <w:marRight w:val="0"/>
          <w:marTop w:val="0"/>
          <w:marBottom w:val="0"/>
          <w:divBdr>
            <w:top w:val="none" w:sz="0" w:space="0" w:color="auto"/>
            <w:left w:val="none" w:sz="0" w:space="0" w:color="auto"/>
            <w:bottom w:val="none" w:sz="0" w:space="0" w:color="auto"/>
            <w:right w:val="none" w:sz="0" w:space="0" w:color="auto"/>
          </w:divBdr>
        </w:div>
        <w:div w:id="1139225331">
          <w:marLeft w:val="0"/>
          <w:marRight w:val="0"/>
          <w:marTop w:val="0"/>
          <w:marBottom w:val="0"/>
          <w:divBdr>
            <w:top w:val="none" w:sz="0" w:space="0" w:color="auto"/>
            <w:left w:val="none" w:sz="0" w:space="0" w:color="auto"/>
            <w:bottom w:val="none" w:sz="0" w:space="0" w:color="auto"/>
            <w:right w:val="none" w:sz="0" w:space="0" w:color="auto"/>
          </w:divBdr>
        </w:div>
        <w:div w:id="822770375">
          <w:marLeft w:val="0"/>
          <w:marRight w:val="0"/>
          <w:marTop w:val="0"/>
          <w:marBottom w:val="0"/>
          <w:divBdr>
            <w:top w:val="none" w:sz="0" w:space="0" w:color="auto"/>
            <w:left w:val="none" w:sz="0" w:space="0" w:color="auto"/>
            <w:bottom w:val="none" w:sz="0" w:space="0" w:color="auto"/>
            <w:right w:val="none" w:sz="0" w:space="0" w:color="auto"/>
          </w:divBdr>
        </w:div>
        <w:div w:id="1476408118">
          <w:marLeft w:val="720"/>
          <w:marRight w:val="0"/>
          <w:marTop w:val="0"/>
          <w:marBottom w:val="0"/>
          <w:divBdr>
            <w:top w:val="none" w:sz="0" w:space="0" w:color="auto"/>
            <w:left w:val="none" w:sz="0" w:space="0" w:color="auto"/>
            <w:bottom w:val="none" w:sz="0" w:space="0" w:color="auto"/>
            <w:right w:val="none" w:sz="0" w:space="0" w:color="auto"/>
          </w:divBdr>
        </w:div>
        <w:div w:id="1166365280">
          <w:marLeft w:val="720"/>
          <w:marRight w:val="0"/>
          <w:marTop w:val="0"/>
          <w:marBottom w:val="0"/>
          <w:divBdr>
            <w:top w:val="none" w:sz="0" w:space="0" w:color="auto"/>
            <w:left w:val="none" w:sz="0" w:space="0" w:color="auto"/>
            <w:bottom w:val="none" w:sz="0" w:space="0" w:color="auto"/>
            <w:right w:val="none" w:sz="0" w:space="0" w:color="auto"/>
          </w:divBdr>
        </w:div>
        <w:div w:id="1559441038">
          <w:marLeft w:val="720"/>
          <w:marRight w:val="0"/>
          <w:marTop w:val="0"/>
          <w:marBottom w:val="0"/>
          <w:divBdr>
            <w:top w:val="none" w:sz="0" w:space="0" w:color="auto"/>
            <w:left w:val="none" w:sz="0" w:space="0" w:color="auto"/>
            <w:bottom w:val="none" w:sz="0" w:space="0" w:color="auto"/>
            <w:right w:val="none" w:sz="0" w:space="0" w:color="auto"/>
          </w:divBdr>
        </w:div>
        <w:div w:id="44257221">
          <w:marLeft w:val="0"/>
          <w:marRight w:val="0"/>
          <w:marTop w:val="0"/>
          <w:marBottom w:val="0"/>
          <w:divBdr>
            <w:top w:val="none" w:sz="0" w:space="0" w:color="auto"/>
            <w:left w:val="none" w:sz="0" w:space="0" w:color="auto"/>
            <w:bottom w:val="none" w:sz="0" w:space="0" w:color="auto"/>
            <w:right w:val="none" w:sz="0" w:space="0" w:color="auto"/>
          </w:divBdr>
        </w:div>
        <w:div w:id="1683387059">
          <w:marLeft w:val="0"/>
          <w:marRight w:val="0"/>
          <w:marTop w:val="0"/>
          <w:marBottom w:val="0"/>
          <w:divBdr>
            <w:top w:val="none" w:sz="0" w:space="0" w:color="auto"/>
            <w:left w:val="none" w:sz="0" w:space="0" w:color="auto"/>
            <w:bottom w:val="none" w:sz="0" w:space="0" w:color="auto"/>
            <w:right w:val="none" w:sz="0" w:space="0" w:color="auto"/>
          </w:divBdr>
        </w:div>
        <w:div w:id="1709182402">
          <w:marLeft w:val="0"/>
          <w:marRight w:val="0"/>
          <w:marTop w:val="0"/>
          <w:marBottom w:val="0"/>
          <w:divBdr>
            <w:top w:val="none" w:sz="0" w:space="0" w:color="auto"/>
            <w:left w:val="none" w:sz="0" w:space="0" w:color="auto"/>
            <w:bottom w:val="none" w:sz="0" w:space="0" w:color="auto"/>
            <w:right w:val="none" w:sz="0" w:space="0" w:color="auto"/>
          </w:divBdr>
        </w:div>
        <w:div w:id="1381057343">
          <w:marLeft w:val="0"/>
          <w:marRight w:val="0"/>
          <w:marTop w:val="0"/>
          <w:marBottom w:val="0"/>
          <w:divBdr>
            <w:top w:val="none" w:sz="0" w:space="0" w:color="auto"/>
            <w:left w:val="none" w:sz="0" w:space="0" w:color="auto"/>
            <w:bottom w:val="none" w:sz="0" w:space="0" w:color="auto"/>
            <w:right w:val="none" w:sz="0" w:space="0" w:color="auto"/>
          </w:divBdr>
        </w:div>
        <w:div w:id="1430466991">
          <w:marLeft w:val="0"/>
          <w:marRight w:val="0"/>
          <w:marTop w:val="0"/>
          <w:marBottom w:val="0"/>
          <w:divBdr>
            <w:top w:val="none" w:sz="0" w:space="0" w:color="auto"/>
            <w:left w:val="none" w:sz="0" w:space="0" w:color="auto"/>
            <w:bottom w:val="none" w:sz="0" w:space="0" w:color="auto"/>
            <w:right w:val="none" w:sz="0" w:space="0" w:color="auto"/>
          </w:divBdr>
        </w:div>
      </w:divsChild>
    </w:div>
    <w:div w:id="243228201">
      <w:bodyDiv w:val="1"/>
      <w:marLeft w:val="0"/>
      <w:marRight w:val="0"/>
      <w:marTop w:val="0"/>
      <w:marBottom w:val="0"/>
      <w:divBdr>
        <w:top w:val="none" w:sz="0" w:space="0" w:color="auto"/>
        <w:left w:val="none" w:sz="0" w:space="0" w:color="auto"/>
        <w:bottom w:val="none" w:sz="0" w:space="0" w:color="auto"/>
        <w:right w:val="none" w:sz="0" w:space="0" w:color="auto"/>
      </w:divBdr>
    </w:div>
    <w:div w:id="243417347">
      <w:bodyDiv w:val="1"/>
      <w:marLeft w:val="0"/>
      <w:marRight w:val="0"/>
      <w:marTop w:val="0"/>
      <w:marBottom w:val="0"/>
      <w:divBdr>
        <w:top w:val="none" w:sz="0" w:space="0" w:color="auto"/>
        <w:left w:val="none" w:sz="0" w:space="0" w:color="auto"/>
        <w:bottom w:val="none" w:sz="0" w:space="0" w:color="auto"/>
        <w:right w:val="none" w:sz="0" w:space="0" w:color="auto"/>
      </w:divBdr>
    </w:div>
    <w:div w:id="249852137">
      <w:bodyDiv w:val="1"/>
      <w:marLeft w:val="0"/>
      <w:marRight w:val="0"/>
      <w:marTop w:val="0"/>
      <w:marBottom w:val="0"/>
      <w:divBdr>
        <w:top w:val="none" w:sz="0" w:space="0" w:color="auto"/>
        <w:left w:val="none" w:sz="0" w:space="0" w:color="auto"/>
        <w:bottom w:val="none" w:sz="0" w:space="0" w:color="auto"/>
        <w:right w:val="none" w:sz="0" w:space="0" w:color="auto"/>
      </w:divBdr>
    </w:div>
    <w:div w:id="260652999">
      <w:bodyDiv w:val="1"/>
      <w:marLeft w:val="0"/>
      <w:marRight w:val="0"/>
      <w:marTop w:val="0"/>
      <w:marBottom w:val="0"/>
      <w:divBdr>
        <w:top w:val="none" w:sz="0" w:space="0" w:color="auto"/>
        <w:left w:val="none" w:sz="0" w:space="0" w:color="auto"/>
        <w:bottom w:val="none" w:sz="0" w:space="0" w:color="auto"/>
        <w:right w:val="none" w:sz="0" w:space="0" w:color="auto"/>
      </w:divBdr>
    </w:div>
    <w:div w:id="276765613">
      <w:bodyDiv w:val="1"/>
      <w:marLeft w:val="0"/>
      <w:marRight w:val="0"/>
      <w:marTop w:val="0"/>
      <w:marBottom w:val="0"/>
      <w:divBdr>
        <w:top w:val="none" w:sz="0" w:space="0" w:color="auto"/>
        <w:left w:val="none" w:sz="0" w:space="0" w:color="auto"/>
        <w:bottom w:val="none" w:sz="0" w:space="0" w:color="auto"/>
        <w:right w:val="none" w:sz="0" w:space="0" w:color="auto"/>
      </w:divBdr>
      <w:divsChild>
        <w:div w:id="921068027">
          <w:marLeft w:val="0"/>
          <w:marRight w:val="0"/>
          <w:marTop w:val="0"/>
          <w:marBottom w:val="0"/>
          <w:divBdr>
            <w:top w:val="none" w:sz="0" w:space="0" w:color="auto"/>
            <w:left w:val="none" w:sz="0" w:space="0" w:color="auto"/>
            <w:bottom w:val="none" w:sz="0" w:space="0" w:color="auto"/>
            <w:right w:val="none" w:sz="0" w:space="0" w:color="auto"/>
          </w:divBdr>
        </w:div>
      </w:divsChild>
    </w:div>
    <w:div w:id="286162124">
      <w:bodyDiv w:val="1"/>
      <w:marLeft w:val="0"/>
      <w:marRight w:val="0"/>
      <w:marTop w:val="0"/>
      <w:marBottom w:val="0"/>
      <w:divBdr>
        <w:top w:val="none" w:sz="0" w:space="0" w:color="auto"/>
        <w:left w:val="none" w:sz="0" w:space="0" w:color="auto"/>
        <w:bottom w:val="none" w:sz="0" w:space="0" w:color="auto"/>
        <w:right w:val="none" w:sz="0" w:space="0" w:color="auto"/>
      </w:divBdr>
    </w:div>
    <w:div w:id="287128310">
      <w:bodyDiv w:val="1"/>
      <w:marLeft w:val="0"/>
      <w:marRight w:val="0"/>
      <w:marTop w:val="0"/>
      <w:marBottom w:val="0"/>
      <w:divBdr>
        <w:top w:val="none" w:sz="0" w:space="0" w:color="auto"/>
        <w:left w:val="none" w:sz="0" w:space="0" w:color="auto"/>
        <w:bottom w:val="none" w:sz="0" w:space="0" w:color="auto"/>
        <w:right w:val="none" w:sz="0" w:space="0" w:color="auto"/>
      </w:divBdr>
    </w:div>
    <w:div w:id="287441655">
      <w:bodyDiv w:val="1"/>
      <w:marLeft w:val="0"/>
      <w:marRight w:val="0"/>
      <w:marTop w:val="0"/>
      <w:marBottom w:val="0"/>
      <w:divBdr>
        <w:top w:val="none" w:sz="0" w:space="0" w:color="auto"/>
        <w:left w:val="none" w:sz="0" w:space="0" w:color="auto"/>
        <w:bottom w:val="none" w:sz="0" w:space="0" w:color="auto"/>
        <w:right w:val="none" w:sz="0" w:space="0" w:color="auto"/>
      </w:divBdr>
    </w:div>
    <w:div w:id="290668589">
      <w:bodyDiv w:val="1"/>
      <w:marLeft w:val="0"/>
      <w:marRight w:val="0"/>
      <w:marTop w:val="0"/>
      <w:marBottom w:val="0"/>
      <w:divBdr>
        <w:top w:val="none" w:sz="0" w:space="0" w:color="auto"/>
        <w:left w:val="none" w:sz="0" w:space="0" w:color="auto"/>
        <w:bottom w:val="none" w:sz="0" w:space="0" w:color="auto"/>
        <w:right w:val="none" w:sz="0" w:space="0" w:color="auto"/>
      </w:divBdr>
    </w:div>
    <w:div w:id="299268512">
      <w:bodyDiv w:val="1"/>
      <w:marLeft w:val="0"/>
      <w:marRight w:val="0"/>
      <w:marTop w:val="0"/>
      <w:marBottom w:val="0"/>
      <w:divBdr>
        <w:top w:val="none" w:sz="0" w:space="0" w:color="auto"/>
        <w:left w:val="none" w:sz="0" w:space="0" w:color="auto"/>
        <w:bottom w:val="none" w:sz="0" w:space="0" w:color="auto"/>
        <w:right w:val="none" w:sz="0" w:space="0" w:color="auto"/>
      </w:divBdr>
    </w:div>
    <w:div w:id="306519617">
      <w:bodyDiv w:val="1"/>
      <w:marLeft w:val="0"/>
      <w:marRight w:val="0"/>
      <w:marTop w:val="0"/>
      <w:marBottom w:val="0"/>
      <w:divBdr>
        <w:top w:val="none" w:sz="0" w:space="0" w:color="auto"/>
        <w:left w:val="none" w:sz="0" w:space="0" w:color="auto"/>
        <w:bottom w:val="none" w:sz="0" w:space="0" w:color="auto"/>
        <w:right w:val="none" w:sz="0" w:space="0" w:color="auto"/>
      </w:divBdr>
    </w:div>
    <w:div w:id="306712416">
      <w:bodyDiv w:val="1"/>
      <w:marLeft w:val="0"/>
      <w:marRight w:val="0"/>
      <w:marTop w:val="0"/>
      <w:marBottom w:val="0"/>
      <w:divBdr>
        <w:top w:val="none" w:sz="0" w:space="0" w:color="auto"/>
        <w:left w:val="none" w:sz="0" w:space="0" w:color="auto"/>
        <w:bottom w:val="none" w:sz="0" w:space="0" w:color="auto"/>
        <w:right w:val="none" w:sz="0" w:space="0" w:color="auto"/>
      </w:divBdr>
    </w:div>
    <w:div w:id="308095659">
      <w:bodyDiv w:val="1"/>
      <w:marLeft w:val="0"/>
      <w:marRight w:val="0"/>
      <w:marTop w:val="0"/>
      <w:marBottom w:val="0"/>
      <w:divBdr>
        <w:top w:val="none" w:sz="0" w:space="0" w:color="auto"/>
        <w:left w:val="none" w:sz="0" w:space="0" w:color="auto"/>
        <w:bottom w:val="none" w:sz="0" w:space="0" w:color="auto"/>
        <w:right w:val="none" w:sz="0" w:space="0" w:color="auto"/>
      </w:divBdr>
    </w:div>
    <w:div w:id="309789782">
      <w:bodyDiv w:val="1"/>
      <w:marLeft w:val="0"/>
      <w:marRight w:val="0"/>
      <w:marTop w:val="0"/>
      <w:marBottom w:val="0"/>
      <w:divBdr>
        <w:top w:val="none" w:sz="0" w:space="0" w:color="auto"/>
        <w:left w:val="none" w:sz="0" w:space="0" w:color="auto"/>
        <w:bottom w:val="none" w:sz="0" w:space="0" w:color="auto"/>
        <w:right w:val="none" w:sz="0" w:space="0" w:color="auto"/>
      </w:divBdr>
    </w:div>
    <w:div w:id="322005218">
      <w:bodyDiv w:val="1"/>
      <w:marLeft w:val="0"/>
      <w:marRight w:val="0"/>
      <w:marTop w:val="0"/>
      <w:marBottom w:val="0"/>
      <w:divBdr>
        <w:top w:val="none" w:sz="0" w:space="0" w:color="auto"/>
        <w:left w:val="none" w:sz="0" w:space="0" w:color="auto"/>
        <w:bottom w:val="none" w:sz="0" w:space="0" w:color="auto"/>
        <w:right w:val="none" w:sz="0" w:space="0" w:color="auto"/>
      </w:divBdr>
      <w:divsChild>
        <w:div w:id="548348390">
          <w:marLeft w:val="0"/>
          <w:marRight w:val="0"/>
          <w:marTop w:val="0"/>
          <w:marBottom w:val="0"/>
          <w:divBdr>
            <w:top w:val="none" w:sz="0" w:space="0" w:color="auto"/>
            <w:left w:val="none" w:sz="0" w:space="0" w:color="auto"/>
            <w:bottom w:val="none" w:sz="0" w:space="0" w:color="auto"/>
            <w:right w:val="none" w:sz="0" w:space="0" w:color="auto"/>
          </w:divBdr>
        </w:div>
        <w:div w:id="73550692">
          <w:marLeft w:val="0"/>
          <w:marRight w:val="0"/>
          <w:marTop w:val="0"/>
          <w:marBottom w:val="0"/>
          <w:divBdr>
            <w:top w:val="none" w:sz="0" w:space="0" w:color="auto"/>
            <w:left w:val="none" w:sz="0" w:space="0" w:color="auto"/>
            <w:bottom w:val="none" w:sz="0" w:space="0" w:color="auto"/>
            <w:right w:val="none" w:sz="0" w:space="0" w:color="auto"/>
          </w:divBdr>
        </w:div>
        <w:div w:id="1416516550">
          <w:marLeft w:val="0"/>
          <w:marRight w:val="0"/>
          <w:marTop w:val="0"/>
          <w:marBottom w:val="0"/>
          <w:divBdr>
            <w:top w:val="none" w:sz="0" w:space="0" w:color="auto"/>
            <w:left w:val="none" w:sz="0" w:space="0" w:color="auto"/>
            <w:bottom w:val="none" w:sz="0" w:space="0" w:color="auto"/>
            <w:right w:val="none" w:sz="0" w:space="0" w:color="auto"/>
          </w:divBdr>
        </w:div>
        <w:div w:id="1977493124">
          <w:marLeft w:val="0"/>
          <w:marRight w:val="0"/>
          <w:marTop w:val="0"/>
          <w:marBottom w:val="0"/>
          <w:divBdr>
            <w:top w:val="none" w:sz="0" w:space="0" w:color="auto"/>
            <w:left w:val="none" w:sz="0" w:space="0" w:color="auto"/>
            <w:bottom w:val="none" w:sz="0" w:space="0" w:color="auto"/>
            <w:right w:val="none" w:sz="0" w:space="0" w:color="auto"/>
          </w:divBdr>
        </w:div>
        <w:div w:id="379522272">
          <w:marLeft w:val="0"/>
          <w:marRight w:val="0"/>
          <w:marTop w:val="0"/>
          <w:marBottom w:val="0"/>
          <w:divBdr>
            <w:top w:val="none" w:sz="0" w:space="0" w:color="auto"/>
            <w:left w:val="none" w:sz="0" w:space="0" w:color="auto"/>
            <w:bottom w:val="none" w:sz="0" w:space="0" w:color="auto"/>
            <w:right w:val="none" w:sz="0" w:space="0" w:color="auto"/>
          </w:divBdr>
        </w:div>
        <w:div w:id="7954077">
          <w:marLeft w:val="0"/>
          <w:marRight w:val="0"/>
          <w:marTop w:val="0"/>
          <w:marBottom w:val="0"/>
          <w:divBdr>
            <w:top w:val="none" w:sz="0" w:space="0" w:color="auto"/>
            <w:left w:val="none" w:sz="0" w:space="0" w:color="auto"/>
            <w:bottom w:val="none" w:sz="0" w:space="0" w:color="auto"/>
            <w:right w:val="none" w:sz="0" w:space="0" w:color="auto"/>
          </w:divBdr>
        </w:div>
        <w:div w:id="1355691106">
          <w:marLeft w:val="0"/>
          <w:marRight w:val="0"/>
          <w:marTop w:val="0"/>
          <w:marBottom w:val="0"/>
          <w:divBdr>
            <w:top w:val="none" w:sz="0" w:space="0" w:color="auto"/>
            <w:left w:val="none" w:sz="0" w:space="0" w:color="auto"/>
            <w:bottom w:val="none" w:sz="0" w:space="0" w:color="auto"/>
            <w:right w:val="none" w:sz="0" w:space="0" w:color="auto"/>
          </w:divBdr>
        </w:div>
        <w:div w:id="830408813">
          <w:marLeft w:val="0"/>
          <w:marRight w:val="0"/>
          <w:marTop w:val="0"/>
          <w:marBottom w:val="0"/>
          <w:divBdr>
            <w:top w:val="none" w:sz="0" w:space="0" w:color="auto"/>
            <w:left w:val="none" w:sz="0" w:space="0" w:color="auto"/>
            <w:bottom w:val="none" w:sz="0" w:space="0" w:color="auto"/>
            <w:right w:val="none" w:sz="0" w:space="0" w:color="auto"/>
          </w:divBdr>
        </w:div>
        <w:div w:id="1405372627">
          <w:marLeft w:val="0"/>
          <w:marRight w:val="0"/>
          <w:marTop w:val="0"/>
          <w:marBottom w:val="0"/>
          <w:divBdr>
            <w:top w:val="none" w:sz="0" w:space="0" w:color="auto"/>
            <w:left w:val="none" w:sz="0" w:space="0" w:color="auto"/>
            <w:bottom w:val="none" w:sz="0" w:space="0" w:color="auto"/>
            <w:right w:val="none" w:sz="0" w:space="0" w:color="auto"/>
          </w:divBdr>
        </w:div>
        <w:div w:id="1608076699">
          <w:marLeft w:val="0"/>
          <w:marRight w:val="0"/>
          <w:marTop w:val="0"/>
          <w:marBottom w:val="0"/>
          <w:divBdr>
            <w:top w:val="none" w:sz="0" w:space="0" w:color="auto"/>
            <w:left w:val="none" w:sz="0" w:space="0" w:color="auto"/>
            <w:bottom w:val="none" w:sz="0" w:space="0" w:color="auto"/>
            <w:right w:val="none" w:sz="0" w:space="0" w:color="auto"/>
          </w:divBdr>
        </w:div>
        <w:div w:id="1258947077">
          <w:marLeft w:val="0"/>
          <w:marRight w:val="0"/>
          <w:marTop w:val="0"/>
          <w:marBottom w:val="0"/>
          <w:divBdr>
            <w:top w:val="none" w:sz="0" w:space="0" w:color="auto"/>
            <w:left w:val="none" w:sz="0" w:space="0" w:color="auto"/>
            <w:bottom w:val="none" w:sz="0" w:space="0" w:color="auto"/>
            <w:right w:val="none" w:sz="0" w:space="0" w:color="auto"/>
          </w:divBdr>
        </w:div>
        <w:div w:id="1163546063">
          <w:marLeft w:val="0"/>
          <w:marRight w:val="0"/>
          <w:marTop w:val="0"/>
          <w:marBottom w:val="0"/>
          <w:divBdr>
            <w:top w:val="none" w:sz="0" w:space="0" w:color="auto"/>
            <w:left w:val="none" w:sz="0" w:space="0" w:color="auto"/>
            <w:bottom w:val="none" w:sz="0" w:space="0" w:color="auto"/>
            <w:right w:val="none" w:sz="0" w:space="0" w:color="auto"/>
          </w:divBdr>
          <w:divsChild>
            <w:div w:id="1576355269">
              <w:marLeft w:val="0"/>
              <w:marRight w:val="0"/>
              <w:marTop w:val="0"/>
              <w:marBottom w:val="0"/>
              <w:divBdr>
                <w:top w:val="none" w:sz="0" w:space="0" w:color="auto"/>
                <w:left w:val="none" w:sz="0" w:space="0" w:color="auto"/>
                <w:bottom w:val="none" w:sz="0" w:space="0" w:color="auto"/>
                <w:right w:val="none" w:sz="0" w:space="0" w:color="auto"/>
              </w:divBdr>
              <w:divsChild>
                <w:div w:id="15462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69228">
      <w:bodyDiv w:val="1"/>
      <w:marLeft w:val="0"/>
      <w:marRight w:val="0"/>
      <w:marTop w:val="0"/>
      <w:marBottom w:val="0"/>
      <w:divBdr>
        <w:top w:val="none" w:sz="0" w:space="0" w:color="auto"/>
        <w:left w:val="none" w:sz="0" w:space="0" w:color="auto"/>
        <w:bottom w:val="none" w:sz="0" w:space="0" w:color="auto"/>
        <w:right w:val="none" w:sz="0" w:space="0" w:color="auto"/>
      </w:divBdr>
    </w:div>
    <w:div w:id="347951751">
      <w:bodyDiv w:val="1"/>
      <w:marLeft w:val="0"/>
      <w:marRight w:val="0"/>
      <w:marTop w:val="0"/>
      <w:marBottom w:val="0"/>
      <w:divBdr>
        <w:top w:val="none" w:sz="0" w:space="0" w:color="auto"/>
        <w:left w:val="none" w:sz="0" w:space="0" w:color="auto"/>
        <w:bottom w:val="none" w:sz="0" w:space="0" w:color="auto"/>
        <w:right w:val="none" w:sz="0" w:space="0" w:color="auto"/>
      </w:divBdr>
    </w:div>
    <w:div w:id="354043469">
      <w:bodyDiv w:val="1"/>
      <w:marLeft w:val="0"/>
      <w:marRight w:val="0"/>
      <w:marTop w:val="0"/>
      <w:marBottom w:val="0"/>
      <w:divBdr>
        <w:top w:val="none" w:sz="0" w:space="0" w:color="auto"/>
        <w:left w:val="none" w:sz="0" w:space="0" w:color="auto"/>
        <w:bottom w:val="none" w:sz="0" w:space="0" w:color="auto"/>
        <w:right w:val="none" w:sz="0" w:space="0" w:color="auto"/>
      </w:divBdr>
    </w:div>
    <w:div w:id="355276937">
      <w:bodyDiv w:val="1"/>
      <w:marLeft w:val="0"/>
      <w:marRight w:val="0"/>
      <w:marTop w:val="0"/>
      <w:marBottom w:val="0"/>
      <w:divBdr>
        <w:top w:val="none" w:sz="0" w:space="0" w:color="auto"/>
        <w:left w:val="none" w:sz="0" w:space="0" w:color="auto"/>
        <w:bottom w:val="none" w:sz="0" w:space="0" w:color="auto"/>
        <w:right w:val="none" w:sz="0" w:space="0" w:color="auto"/>
      </w:divBdr>
    </w:div>
    <w:div w:id="361442594">
      <w:bodyDiv w:val="1"/>
      <w:marLeft w:val="0"/>
      <w:marRight w:val="0"/>
      <w:marTop w:val="0"/>
      <w:marBottom w:val="0"/>
      <w:divBdr>
        <w:top w:val="none" w:sz="0" w:space="0" w:color="auto"/>
        <w:left w:val="none" w:sz="0" w:space="0" w:color="auto"/>
        <w:bottom w:val="none" w:sz="0" w:space="0" w:color="auto"/>
        <w:right w:val="none" w:sz="0" w:space="0" w:color="auto"/>
      </w:divBdr>
    </w:div>
    <w:div w:id="363559988">
      <w:bodyDiv w:val="1"/>
      <w:marLeft w:val="0"/>
      <w:marRight w:val="0"/>
      <w:marTop w:val="0"/>
      <w:marBottom w:val="0"/>
      <w:divBdr>
        <w:top w:val="none" w:sz="0" w:space="0" w:color="auto"/>
        <w:left w:val="none" w:sz="0" w:space="0" w:color="auto"/>
        <w:bottom w:val="none" w:sz="0" w:space="0" w:color="auto"/>
        <w:right w:val="none" w:sz="0" w:space="0" w:color="auto"/>
      </w:divBdr>
    </w:div>
    <w:div w:id="366612368">
      <w:bodyDiv w:val="1"/>
      <w:marLeft w:val="0"/>
      <w:marRight w:val="0"/>
      <w:marTop w:val="0"/>
      <w:marBottom w:val="0"/>
      <w:divBdr>
        <w:top w:val="none" w:sz="0" w:space="0" w:color="auto"/>
        <w:left w:val="none" w:sz="0" w:space="0" w:color="auto"/>
        <w:bottom w:val="none" w:sz="0" w:space="0" w:color="auto"/>
        <w:right w:val="none" w:sz="0" w:space="0" w:color="auto"/>
      </w:divBdr>
    </w:div>
    <w:div w:id="382366466">
      <w:bodyDiv w:val="1"/>
      <w:marLeft w:val="0"/>
      <w:marRight w:val="0"/>
      <w:marTop w:val="0"/>
      <w:marBottom w:val="0"/>
      <w:divBdr>
        <w:top w:val="none" w:sz="0" w:space="0" w:color="auto"/>
        <w:left w:val="none" w:sz="0" w:space="0" w:color="auto"/>
        <w:bottom w:val="none" w:sz="0" w:space="0" w:color="auto"/>
        <w:right w:val="none" w:sz="0" w:space="0" w:color="auto"/>
      </w:divBdr>
    </w:div>
    <w:div w:id="399057262">
      <w:bodyDiv w:val="1"/>
      <w:marLeft w:val="0"/>
      <w:marRight w:val="0"/>
      <w:marTop w:val="0"/>
      <w:marBottom w:val="0"/>
      <w:divBdr>
        <w:top w:val="none" w:sz="0" w:space="0" w:color="auto"/>
        <w:left w:val="none" w:sz="0" w:space="0" w:color="auto"/>
        <w:bottom w:val="none" w:sz="0" w:space="0" w:color="auto"/>
        <w:right w:val="none" w:sz="0" w:space="0" w:color="auto"/>
      </w:divBdr>
    </w:div>
    <w:div w:id="399404139">
      <w:bodyDiv w:val="1"/>
      <w:marLeft w:val="0"/>
      <w:marRight w:val="0"/>
      <w:marTop w:val="0"/>
      <w:marBottom w:val="0"/>
      <w:divBdr>
        <w:top w:val="none" w:sz="0" w:space="0" w:color="auto"/>
        <w:left w:val="none" w:sz="0" w:space="0" w:color="auto"/>
        <w:bottom w:val="none" w:sz="0" w:space="0" w:color="auto"/>
        <w:right w:val="none" w:sz="0" w:space="0" w:color="auto"/>
      </w:divBdr>
    </w:div>
    <w:div w:id="401176670">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4106925">
      <w:bodyDiv w:val="1"/>
      <w:marLeft w:val="0"/>
      <w:marRight w:val="0"/>
      <w:marTop w:val="0"/>
      <w:marBottom w:val="0"/>
      <w:divBdr>
        <w:top w:val="none" w:sz="0" w:space="0" w:color="auto"/>
        <w:left w:val="none" w:sz="0" w:space="0" w:color="auto"/>
        <w:bottom w:val="none" w:sz="0" w:space="0" w:color="auto"/>
        <w:right w:val="none" w:sz="0" w:space="0" w:color="auto"/>
      </w:divBdr>
    </w:div>
    <w:div w:id="411968551">
      <w:bodyDiv w:val="1"/>
      <w:marLeft w:val="0"/>
      <w:marRight w:val="0"/>
      <w:marTop w:val="0"/>
      <w:marBottom w:val="0"/>
      <w:divBdr>
        <w:top w:val="none" w:sz="0" w:space="0" w:color="auto"/>
        <w:left w:val="none" w:sz="0" w:space="0" w:color="auto"/>
        <w:bottom w:val="none" w:sz="0" w:space="0" w:color="auto"/>
        <w:right w:val="none" w:sz="0" w:space="0" w:color="auto"/>
      </w:divBdr>
    </w:div>
    <w:div w:id="421802269">
      <w:bodyDiv w:val="1"/>
      <w:marLeft w:val="0"/>
      <w:marRight w:val="0"/>
      <w:marTop w:val="0"/>
      <w:marBottom w:val="0"/>
      <w:divBdr>
        <w:top w:val="none" w:sz="0" w:space="0" w:color="auto"/>
        <w:left w:val="none" w:sz="0" w:space="0" w:color="auto"/>
        <w:bottom w:val="none" w:sz="0" w:space="0" w:color="auto"/>
        <w:right w:val="none" w:sz="0" w:space="0" w:color="auto"/>
      </w:divBdr>
      <w:divsChild>
        <w:div w:id="718943290">
          <w:marLeft w:val="0"/>
          <w:marRight w:val="0"/>
          <w:marTop w:val="0"/>
          <w:marBottom w:val="0"/>
          <w:divBdr>
            <w:top w:val="none" w:sz="0" w:space="0" w:color="auto"/>
            <w:left w:val="none" w:sz="0" w:space="0" w:color="auto"/>
            <w:bottom w:val="none" w:sz="0" w:space="0" w:color="auto"/>
            <w:right w:val="none" w:sz="0" w:space="0" w:color="auto"/>
          </w:divBdr>
        </w:div>
        <w:div w:id="1060714207">
          <w:marLeft w:val="0"/>
          <w:marRight w:val="0"/>
          <w:marTop w:val="0"/>
          <w:marBottom w:val="0"/>
          <w:divBdr>
            <w:top w:val="none" w:sz="0" w:space="0" w:color="auto"/>
            <w:left w:val="none" w:sz="0" w:space="0" w:color="auto"/>
            <w:bottom w:val="none" w:sz="0" w:space="0" w:color="auto"/>
            <w:right w:val="none" w:sz="0" w:space="0" w:color="auto"/>
          </w:divBdr>
        </w:div>
        <w:div w:id="1321883712">
          <w:marLeft w:val="0"/>
          <w:marRight w:val="0"/>
          <w:marTop w:val="0"/>
          <w:marBottom w:val="0"/>
          <w:divBdr>
            <w:top w:val="none" w:sz="0" w:space="0" w:color="auto"/>
            <w:left w:val="none" w:sz="0" w:space="0" w:color="auto"/>
            <w:bottom w:val="none" w:sz="0" w:space="0" w:color="auto"/>
            <w:right w:val="none" w:sz="0" w:space="0" w:color="auto"/>
          </w:divBdr>
        </w:div>
      </w:divsChild>
    </w:div>
    <w:div w:id="430392642">
      <w:bodyDiv w:val="1"/>
      <w:marLeft w:val="0"/>
      <w:marRight w:val="0"/>
      <w:marTop w:val="0"/>
      <w:marBottom w:val="0"/>
      <w:divBdr>
        <w:top w:val="none" w:sz="0" w:space="0" w:color="auto"/>
        <w:left w:val="none" w:sz="0" w:space="0" w:color="auto"/>
        <w:bottom w:val="none" w:sz="0" w:space="0" w:color="auto"/>
        <w:right w:val="none" w:sz="0" w:space="0" w:color="auto"/>
      </w:divBdr>
    </w:div>
    <w:div w:id="430854875">
      <w:bodyDiv w:val="1"/>
      <w:marLeft w:val="0"/>
      <w:marRight w:val="0"/>
      <w:marTop w:val="0"/>
      <w:marBottom w:val="0"/>
      <w:divBdr>
        <w:top w:val="none" w:sz="0" w:space="0" w:color="auto"/>
        <w:left w:val="none" w:sz="0" w:space="0" w:color="auto"/>
        <w:bottom w:val="none" w:sz="0" w:space="0" w:color="auto"/>
        <w:right w:val="none" w:sz="0" w:space="0" w:color="auto"/>
      </w:divBdr>
    </w:div>
    <w:div w:id="433284545">
      <w:bodyDiv w:val="1"/>
      <w:marLeft w:val="0"/>
      <w:marRight w:val="0"/>
      <w:marTop w:val="0"/>
      <w:marBottom w:val="0"/>
      <w:divBdr>
        <w:top w:val="none" w:sz="0" w:space="0" w:color="auto"/>
        <w:left w:val="none" w:sz="0" w:space="0" w:color="auto"/>
        <w:bottom w:val="none" w:sz="0" w:space="0" w:color="auto"/>
        <w:right w:val="none" w:sz="0" w:space="0" w:color="auto"/>
      </w:divBdr>
    </w:div>
    <w:div w:id="437607437">
      <w:bodyDiv w:val="1"/>
      <w:marLeft w:val="0"/>
      <w:marRight w:val="0"/>
      <w:marTop w:val="0"/>
      <w:marBottom w:val="0"/>
      <w:divBdr>
        <w:top w:val="none" w:sz="0" w:space="0" w:color="auto"/>
        <w:left w:val="none" w:sz="0" w:space="0" w:color="auto"/>
        <w:bottom w:val="none" w:sz="0" w:space="0" w:color="auto"/>
        <w:right w:val="none" w:sz="0" w:space="0" w:color="auto"/>
      </w:divBdr>
    </w:div>
    <w:div w:id="445468889">
      <w:bodyDiv w:val="1"/>
      <w:marLeft w:val="0"/>
      <w:marRight w:val="0"/>
      <w:marTop w:val="0"/>
      <w:marBottom w:val="0"/>
      <w:divBdr>
        <w:top w:val="none" w:sz="0" w:space="0" w:color="auto"/>
        <w:left w:val="none" w:sz="0" w:space="0" w:color="auto"/>
        <w:bottom w:val="none" w:sz="0" w:space="0" w:color="auto"/>
        <w:right w:val="none" w:sz="0" w:space="0" w:color="auto"/>
      </w:divBdr>
    </w:div>
    <w:div w:id="448204988">
      <w:bodyDiv w:val="1"/>
      <w:marLeft w:val="0"/>
      <w:marRight w:val="0"/>
      <w:marTop w:val="0"/>
      <w:marBottom w:val="0"/>
      <w:divBdr>
        <w:top w:val="none" w:sz="0" w:space="0" w:color="auto"/>
        <w:left w:val="none" w:sz="0" w:space="0" w:color="auto"/>
        <w:bottom w:val="none" w:sz="0" w:space="0" w:color="auto"/>
        <w:right w:val="none" w:sz="0" w:space="0" w:color="auto"/>
      </w:divBdr>
    </w:div>
    <w:div w:id="457723134">
      <w:bodyDiv w:val="1"/>
      <w:marLeft w:val="0"/>
      <w:marRight w:val="0"/>
      <w:marTop w:val="0"/>
      <w:marBottom w:val="0"/>
      <w:divBdr>
        <w:top w:val="none" w:sz="0" w:space="0" w:color="auto"/>
        <w:left w:val="none" w:sz="0" w:space="0" w:color="auto"/>
        <w:bottom w:val="none" w:sz="0" w:space="0" w:color="auto"/>
        <w:right w:val="none" w:sz="0" w:space="0" w:color="auto"/>
      </w:divBdr>
    </w:div>
    <w:div w:id="458766949">
      <w:bodyDiv w:val="1"/>
      <w:marLeft w:val="0"/>
      <w:marRight w:val="0"/>
      <w:marTop w:val="0"/>
      <w:marBottom w:val="0"/>
      <w:divBdr>
        <w:top w:val="none" w:sz="0" w:space="0" w:color="auto"/>
        <w:left w:val="none" w:sz="0" w:space="0" w:color="auto"/>
        <w:bottom w:val="none" w:sz="0" w:space="0" w:color="auto"/>
        <w:right w:val="none" w:sz="0" w:space="0" w:color="auto"/>
      </w:divBdr>
    </w:div>
    <w:div w:id="461390387">
      <w:bodyDiv w:val="1"/>
      <w:marLeft w:val="0"/>
      <w:marRight w:val="0"/>
      <w:marTop w:val="0"/>
      <w:marBottom w:val="0"/>
      <w:divBdr>
        <w:top w:val="none" w:sz="0" w:space="0" w:color="auto"/>
        <w:left w:val="none" w:sz="0" w:space="0" w:color="auto"/>
        <w:bottom w:val="none" w:sz="0" w:space="0" w:color="auto"/>
        <w:right w:val="none" w:sz="0" w:space="0" w:color="auto"/>
      </w:divBdr>
    </w:div>
    <w:div w:id="462039594">
      <w:bodyDiv w:val="1"/>
      <w:marLeft w:val="0"/>
      <w:marRight w:val="0"/>
      <w:marTop w:val="0"/>
      <w:marBottom w:val="0"/>
      <w:divBdr>
        <w:top w:val="none" w:sz="0" w:space="0" w:color="auto"/>
        <w:left w:val="none" w:sz="0" w:space="0" w:color="auto"/>
        <w:bottom w:val="none" w:sz="0" w:space="0" w:color="auto"/>
        <w:right w:val="none" w:sz="0" w:space="0" w:color="auto"/>
      </w:divBdr>
    </w:div>
    <w:div w:id="474373517">
      <w:bodyDiv w:val="1"/>
      <w:marLeft w:val="0"/>
      <w:marRight w:val="0"/>
      <w:marTop w:val="0"/>
      <w:marBottom w:val="0"/>
      <w:divBdr>
        <w:top w:val="none" w:sz="0" w:space="0" w:color="auto"/>
        <w:left w:val="none" w:sz="0" w:space="0" w:color="auto"/>
        <w:bottom w:val="none" w:sz="0" w:space="0" w:color="auto"/>
        <w:right w:val="none" w:sz="0" w:space="0" w:color="auto"/>
      </w:divBdr>
      <w:divsChild>
        <w:div w:id="1649280054">
          <w:marLeft w:val="0"/>
          <w:marRight w:val="0"/>
          <w:marTop w:val="0"/>
          <w:marBottom w:val="0"/>
          <w:divBdr>
            <w:top w:val="none" w:sz="0" w:space="0" w:color="auto"/>
            <w:left w:val="none" w:sz="0" w:space="0" w:color="auto"/>
            <w:bottom w:val="none" w:sz="0" w:space="0" w:color="auto"/>
            <w:right w:val="none" w:sz="0" w:space="0" w:color="auto"/>
          </w:divBdr>
        </w:div>
        <w:div w:id="659503542">
          <w:marLeft w:val="0"/>
          <w:marRight w:val="0"/>
          <w:marTop w:val="0"/>
          <w:marBottom w:val="0"/>
          <w:divBdr>
            <w:top w:val="none" w:sz="0" w:space="0" w:color="auto"/>
            <w:left w:val="none" w:sz="0" w:space="0" w:color="auto"/>
            <w:bottom w:val="none" w:sz="0" w:space="0" w:color="auto"/>
            <w:right w:val="none" w:sz="0" w:space="0" w:color="auto"/>
          </w:divBdr>
        </w:div>
        <w:div w:id="289291021">
          <w:marLeft w:val="0"/>
          <w:marRight w:val="0"/>
          <w:marTop w:val="0"/>
          <w:marBottom w:val="0"/>
          <w:divBdr>
            <w:top w:val="none" w:sz="0" w:space="0" w:color="auto"/>
            <w:left w:val="none" w:sz="0" w:space="0" w:color="auto"/>
            <w:bottom w:val="none" w:sz="0" w:space="0" w:color="auto"/>
            <w:right w:val="none" w:sz="0" w:space="0" w:color="auto"/>
          </w:divBdr>
        </w:div>
        <w:div w:id="1866089447">
          <w:marLeft w:val="720"/>
          <w:marRight w:val="0"/>
          <w:marTop w:val="0"/>
          <w:marBottom w:val="0"/>
          <w:divBdr>
            <w:top w:val="none" w:sz="0" w:space="0" w:color="auto"/>
            <w:left w:val="none" w:sz="0" w:space="0" w:color="auto"/>
            <w:bottom w:val="none" w:sz="0" w:space="0" w:color="auto"/>
            <w:right w:val="none" w:sz="0" w:space="0" w:color="auto"/>
          </w:divBdr>
        </w:div>
        <w:div w:id="161623467">
          <w:marLeft w:val="720"/>
          <w:marRight w:val="0"/>
          <w:marTop w:val="0"/>
          <w:marBottom w:val="0"/>
          <w:divBdr>
            <w:top w:val="none" w:sz="0" w:space="0" w:color="auto"/>
            <w:left w:val="none" w:sz="0" w:space="0" w:color="auto"/>
            <w:bottom w:val="none" w:sz="0" w:space="0" w:color="auto"/>
            <w:right w:val="none" w:sz="0" w:space="0" w:color="auto"/>
          </w:divBdr>
        </w:div>
        <w:div w:id="95753227">
          <w:marLeft w:val="720"/>
          <w:marRight w:val="0"/>
          <w:marTop w:val="0"/>
          <w:marBottom w:val="0"/>
          <w:divBdr>
            <w:top w:val="none" w:sz="0" w:space="0" w:color="auto"/>
            <w:left w:val="none" w:sz="0" w:space="0" w:color="auto"/>
            <w:bottom w:val="none" w:sz="0" w:space="0" w:color="auto"/>
            <w:right w:val="none" w:sz="0" w:space="0" w:color="auto"/>
          </w:divBdr>
        </w:div>
        <w:div w:id="150873103">
          <w:marLeft w:val="0"/>
          <w:marRight w:val="0"/>
          <w:marTop w:val="0"/>
          <w:marBottom w:val="0"/>
          <w:divBdr>
            <w:top w:val="none" w:sz="0" w:space="0" w:color="auto"/>
            <w:left w:val="none" w:sz="0" w:space="0" w:color="auto"/>
            <w:bottom w:val="none" w:sz="0" w:space="0" w:color="auto"/>
            <w:right w:val="none" w:sz="0" w:space="0" w:color="auto"/>
          </w:divBdr>
        </w:div>
        <w:div w:id="1760329009">
          <w:marLeft w:val="0"/>
          <w:marRight w:val="0"/>
          <w:marTop w:val="0"/>
          <w:marBottom w:val="0"/>
          <w:divBdr>
            <w:top w:val="none" w:sz="0" w:space="0" w:color="auto"/>
            <w:left w:val="none" w:sz="0" w:space="0" w:color="auto"/>
            <w:bottom w:val="none" w:sz="0" w:space="0" w:color="auto"/>
            <w:right w:val="none" w:sz="0" w:space="0" w:color="auto"/>
          </w:divBdr>
        </w:div>
        <w:div w:id="1937668316">
          <w:marLeft w:val="0"/>
          <w:marRight w:val="0"/>
          <w:marTop w:val="0"/>
          <w:marBottom w:val="0"/>
          <w:divBdr>
            <w:top w:val="none" w:sz="0" w:space="0" w:color="auto"/>
            <w:left w:val="none" w:sz="0" w:space="0" w:color="auto"/>
            <w:bottom w:val="none" w:sz="0" w:space="0" w:color="auto"/>
            <w:right w:val="none" w:sz="0" w:space="0" w:color="auto"/>
          </w:divBdr>
        </w:div>
        <w:div w:id="884022243">
          <w:marLeft w:val="0"/>
          <w:marRight w:val="0"/>
          <w:marTop w:val="0"/>
          <w:marBottom w:val="0"/>
          <w:divBdr>
            <w:top w:val="none" w:sz="0" w:space="0" w:color="auto"/>
            <w:left w:val="none" w:sz="0" w:space="0" w:color="auto"/>
            <w:bottom w:val="none" w:sz="0" w:space="0" w:color="auto"/>
            <w:right w:val="none" w:sz="0" w:space="0" w:color="auto"/>
          </w:divBdr>
        </w:div>
        <w:div w:id="1901016869">
          <w:marLeft w:val="0"/>
          <w:marRight w:val="0"/>
          <w:marTop w:val="0"/>
          <w:marBottom w:val="0"/>
          <w:divBdr>
            <w:top w:val="none" w:sz="0" w:space="0" w:color="auto"/>
            <w:left w:val="none" w:sz="0" w:space="0" w:color="auto"/>
            <w:bottom w:val="none" w:sz="0" w:space="0" w:color="auto"/>
            <w:right w:val="none" w:sz="0" w:space="0" w:color="auto"/>
          </w:divBdr>
        </w:div>
      </w:divsChild>
    </w:div>
    <w:div w:id="478772206">
      <w:bodyDiv w:val="1"/>
      <w:marLeft w:val="0"/>
      <w:marRight w:val="0"/>
      <w:marTop w:val="0"/>
      <w:marBottom w:val="0"/>
      <w:divBdr>
        <w:top w:val="none" w:sz="0" w:space="0" w:color="auto"/>
        <w:left w:val="none" w:sz="0" w:space="0" w:color="auto"/>
        <w:bottom w:val="none" w:sz="0" w:space="0" w:color="auto"/>
        <w:right w:val="none" w:sz="0" w:space="0" w:color="auto"/>
      </w:divBdr>
    </w:div>
    <w:div w:id="482888372">
      <w:bodyDiv w:val="1"/>
      <w:marLeft w:val="0"/>
      <w:marRight w:val="0"/>
      <w:marTop w:val="0"/>
      <w:marBottom w:val="0"/>
      <w:divBdr>
        <w:top w:val="none" w:sz="0" w:space="0" w:color="auto"/>
        <w:left w:val="none" w:sz="0" w:space="0" w:color="auto"/>
        <w:bottom w:val="none" w:sz="0" w:space="0" w:color="auto"/>
        <w:right w:val="none" w:sz="0" w:space="0" w:color="auto"/>
      </w:divBdr>
    </w:div>
    <w:div w:id="483275128">
      <w:bodyDiv w:val="1"/>
      <w:marLeft w:val="0"/>
      <w:marRight w:val="0"/>
      <w:marTop w:val="0"/>
      <w:marBottom w:val="0"/>
      <w:divBdr>
        <w:top w:val="none" w:sz="0" w:space="0" w:color="auto"/>
        <w:left w:val="none" w:sz="0" w:space="0" w:color="auto"/>
        <w:bottom w:val="none" w:sz="0" w:space="0" w:color="auto"/>
        <w:right w:val="none" w:sz="0" w:space="0" w:color="auto"/>
      </w:divBdr>
    </w:div>
    <w:div w:id="486677545">
      <w:bodyDiv w:val="1"/>
      <w:marLeft w:val="0"/>
      <w:marRight w:val="0"/>
      <w:marTop w:val="0"/>
      <w:marBottom w:val="0"/>
      <w:divBdr>
        <w:top w:val="none" w:sz="0" w:space="0" w:color="auto"/>
        <w:left w:val="none" w:sz="0" w:space="0" w:color="auto"/>
        <w:bottom w:val="none" w:sz="0" w:space="0" w:color="auto"/>
        <w:right w:val="none" w:sz="0" w:space="0" w:color="auto"/>
      </w:divBdr>
    </w:div>
    <w:div w:id="487287474">
      <w:bodyDiv w:val="1"/>
      <w:marLeft w:val="0"/>
      <w:marRight w:val="0"/>
      <w:marTop w:val="0"/>
      <w:marBottom w:val="0"/>
      <w:divBdr>
        <w:top w:val="none" w:sz="0" w:space="0" w:color="auto"/>
        <w:left w:val="none" w:sz="0" w:space="0" w:color="auto"/>
        <w:bottom w:val="none" w:sz="0" w:space="0" w:color="auto"/>
        <w:right w:val="none" w:sz="0" w:space="0" w:color="auto"/>
      </w:divBdr>
    </w:div>
    <w:div w:id="495801289">
      <w:bodyDiv w:val="1"/>
      <w:marLeft w:val="0"/>
      <w:marRight w:val="0"/>
      <w:marTop w:val="0"/>
      <w:marBottom w:val="0"/>
      <w:divBdr>
        <w:top w:val="none" w:sz="0" w:space="0" w:color="auto"/>
        <w:left w:val="none" w:sz="0" w:space="0" w:color="auto"/>
        <w:bottom w:val="none" w:sz="0" w:space="0" w:color="auto"/>
        <w:right w:val="none" w:sz="0" w:space="0" w:color="auto"/>
      </w:divBdr>
    </w:div>
    <w:div w:id="504983262">
      <w:bodyDiv w:val="1"/>
      <w:marLeft w:val="0"/>
      <w:marRight w:val="0"/>
      <w:marTop w:val="0"/>
      <w:marBottom w:val="0"/>
      <w:divBdr>
        <w:top w:val="none" w:sz="0" w:space="0" w:color="auto"/>
        <w:left w:val="none" w:sz="0" w:space="0" w:color="auto"/>
        <w:bottom w:val="none" w:sz="0" w:space="0" w:color="auto"/>
        <w:right w:val="none" w:sz="0" w:space="0" w:color="auto"/>
      </w:divBdr>
    </w:div>
    <w:div w:id="519929595">
      <w:bodyDiv w:val="1"/>
      <w:marLeft w:val="0"/>
      <w:marRight w:val="0"/>
      <w:marTop w:val="0"/>
      <w:marBottom w:val="0"/>
      <w:divBdr>
        <w:top w:val="none" w:sz="0" w:space="0" w:color="auto"/>
        <w:left w:val="none" w:sz="0" w:space="0" w:color="auto"/>
        <w:bottom w:val="none" w:sz="0" w:space="0" w:color="auto"/>
        <w:right w:val="none" w:sz="0" w:space="0" w:color="auto"/>
      </w:divBdr>
    </w:div>
    <w:div w:id="524097550">
      <w:bodyDiv w:val="1"/>
      <w:marLeft w:val="0"/>
      <w:marRight w:val="0"/>
      <w:marTop w:val="0"/>
      <w:marBottom w:val="0"/>
      <w:divBdr>
        <w:top w:val="none" w:sz="0" w:space="0" w:color="auto"/>
        <w:left w:val="none" w:sz="0" w:space="0" w:color="auto"/>
        <w:bottom w:val="none" w:sz="0" w:space="0" w:color="auto"/>
        <w:right w:val="none" w:sz="0" w:space="0" w:color="auto"/>
      </w:divBdr>
    </w:div>
    <w:div w:id="525411931">
      <w:bodyDiv w:val="1"/>
      <w:marLeft w:val="0"/>
      <w:marRight w:val="0"/>
      <w:marTop w:val="0"/>
      <w:marBottom w:val="0"/>
      <w:divBdr>
        <w:top w:val="none" w:sz="0" w:space="0" w:color="auto"/>
        <w:left w:val="none" w:sz="0" w:space="0" w:color="auto"/>
        <w:bottom w:val="none" w:sz="0" w:space="0" w:color="auto"/>
        <w:right w:val="none" w:sz="0" w:space="0" w:color="auto"/>
      </w:divBdr>
    </w:div>
    <w:div w:id="526213553">
      <w:bodyDiv w:val="1"/>
      <w:marLeft w:val="0"/>
      <w:marRight w:val="0"/>
      <w:marTop w:val="0"/>
      <w:marBottom w:val="0"/>
      <w:divBdr>
        <w:top w:val="none" w:sz="0" w:space="0" w:color="auto"/>
        <w:left w:val="none" w:sz="0" w:space="0" w:color="auto"/>
        <w:bottom w:val="none" w:sz="0" w:space="0" w:color="auto"/>
        <w:right w:val="none" w:sz="0" w:space="0" w:color="auto"/>
      </w:divBdr>
    </w:div>
    <w:div w:id="530343427">
      <w:bodyDiv w:val="1"/>
      <w:marLeft w:val="0"/>
      <w:marRight w:val="0"/>
      <w:marTop w:val="0"/>
      <w:marBottom w:val="0"/>
      <w:divBdr>
        <w:top w:val="none" w:sz="0" w:space="0" w:color="auto"/>
        <w:left w:val="none" w:sz="0" w:space="0" w:color="auto"/>
        <w:bottom w:val="none" w:sz="0" w:space="0" w:color="auto"/>
        <w:right w:val="none" w:sz="0" w:space="0" w:color="auto"/>
      </w:divBdr>
    </w:div>
    <w:div w:id="540289227">
      <w:bodyDiv w:val="1"/>
      <w:marLeft w:val="0"/>
      <w:marRight w:val="0"/>
      <w:marTop w:val="0"/>
      <w:marBottom w:val="0"/>
      <w:divBdr>
        <w:top w:val="none" w:sz="0" w:space="0" w:color="auto"/>
        <w:left w:val="none" w:sz="0" w:space="0" w:color="auto"/>
        <w:bottom w:val="none" w:sz="0" w:space="0" w:color="auto"/>
        <w:right w:val="none" w:sz="0" w:space="0" w:color="auto"/>
      </w:divBdr>
    </w:div>
    <w:div w:id="551775413">
      <w:bodyDiv w:val="1"/>
      <w:marLeft w:val="0"/>
      <w:marRight w:val="0"/>
      <w:marTop w:val="0"/>
      <w:marBottom w:val="0"/>
      <w:divBdr>
        <w:top w:val="none" w:sz="0" w:space="0" w:color="auto"/>
        <w:left w:val="none" w:sz="0" w:space="0" w:color="auto"/>
        <w:bottom w:val="none" w:sz="0" w:space="0" w:color="auto"/>
        <w:right w:val="none" w:sz="0" w:space="0" w:color="auto"/>
      </w:divBdr>
    </w:div>
    <w:div w:id="558905177">
      <w:bodyDiv w:val="1"/>
      <w:marLeft w:val="0"/>
      <w:marRight w:val="0"/>
      <w:marTop w:val="0"/>
      <w:marBottom w:val="0"/>
      <w:divBdr>
        <w:top w:val="none" w:sz="0" w:space="0" w:color="auto"/>
        <w:left w:val="none" w:sz="0" w:space="0" w:color="auto"/>
        <w:bottom w:val="none" w:sz="0" w:space="0" w:color="auto"/>
        <w:right w:val="none" w:sz="0" w:space="0" w:color="auto"/>
      </w:divBdr>
    </w:div>
    <w:div w:id="560870902">
      <w:bodyDiv w:val="1"/>
      <w:marLeft w:val="0"/>
      <w:marRight w:val="0"/>
      <w:marTop w:val="0"/>
      <w:marBottom w:val="0"/>
      <w:divBdr>
        <w:top w:val="none" w:sz="0" w:space="0" w:color="auto"/>
        <w:left w:val="none" w:sz="0" w:space="0" w:color="auto"/>
        <w:bottom w:val="none" w:sz="0" w:space="0" w:color="auto"/>
        <w:right w:val="none" w:sz="0" w:space="0" w:color="auto"/>
      </w:divBdr>
    </w:div>
    <w:div w:id="563301468">
      <w:bodyDiv w:val="1"/>
      <w:marLeft w:val="0"/>
      <w:marRight w:val="0"/>
      <w:marTop w:val="0"/>
      <w:marBottom w:val="0"/>
      <w:divBdr>
        <w:top w:val="none" w:sz="0" w:space="0" w:color="auto"/>
        <w:left w:val="none" w:sz="0" w:space="0" w:color="auto"/>
        <w:bottom w:val="none" w:sz="0" w:space="0" w:color="auto"/>
        <w:right w:val="none" w:sz="0" w:space="0" w:color="auto"/>
      </w:divBdr>
    </w:div>
    <w:div w:id="570504192">
      <w:bodyDiv w:val="1"/>
      <w:marLeft w:val="0"/>
      <w:marRight w:val="0"/>
      <w:marTop w:val="0"/>
      <w:marBottom w:val="0"/>
      <w:divBdr>
        <w:top w:val="none" w:sz="0" w:space="0" w:color="auto"/>
        <w:left w:val="none" w:sz="0" w:space="0" w:color="auto"/>
        <w:bottom w:val="none" w:sz="0" w:space="0" w:color="auto"/>
        <w:right w:val="none" w:sz="0" w:space="0" w:color="auto"/>
      </w:divBdr>
    </w:div>
    <w:div w:id="576398698">
      <w:bodyDiv w:val="1"/>
      <w:marLeft w:val="0"/>
      <w:marRight w:val="0"/>
      <w:marTop w:val="0"/>
      <w:marBottom w:val="0"/>
      <w:divBdr>
        <w:top w:val="none" w:sz="0" w:space="0" w:color="auto"/>
        <w:left w:val="none" w:sz="0" w:space="0" w:color="auto"/>
        <w:bottom w:val="none" w:sz="0" w:space="0" w:color="auto"/>
        <w:right w:val="none" w:sz="0" w:space="0" w:color="auto"/>
      </w:divBdr>
    </w:div>
    <w:div w:id="596132757">
      <w:bodyDiv w:val="1"/>
      <w:marLeft w:val="0"/>
      <w:marRight w:val="0"/>
      <w:marTop w:val="0"/>
      <w:marBottom w:val="0"/>
      <w:divBdr>
        <w:top w:val="none" w:sz="0" w:space="0" w:color="auto"/>
        <w:left w:val="none" w:sz="0" w:space="0" w:color="auto"/>
        <w:bottom w:val="none" w:sz="0" w:space="0" w:color="auto"/>
        <w:right w:val="none" w:sz="0" w:space="0" w:color="auto"/>
      </w:divBdr>
    </w:div>
    <w:div w:id="605768287">
      <w:bodyDiv w:val="1"/>
      <w:marLeft w:val="0"/>
      <w:marRight w:val="0"/>
      <w:marTop w:val="0"/>
      <w:marBottom w:val="0"/>
      <w:divBdr>
        <w:top w:val="none" w:sz="0" w:space="0" w:color="auto"/>
        <w:left w:val="none" w:sz="0" w:space="0" w:color="auto"/>
        <w:bottom w:val="none" w:sz="0" w:space="0" w:color="auto"/>
        <w:right w:val="none" w:sz="0" w:space="0" w:color="auto"/>
      </w:divBdr>
    </w:div>
    <w:div w:id="607006656">
      <w:bodyDiv w:val="1"/>
      <w:marLeft w:val="0"/>
      <w:marRight w:val="0"/>
      <w:marTop w:val="0"/>
      <w:marBottom w:val="0"/>
      <w:divBdr>
        <w:top w:val="none" w:sz="0" w:space="0" w:color="auto"/>
        <w:left w:val="none" w:sz="0" w:space="0" w:color="auto"/>
        <w:bottom w:val="none" w:sz="0" w:space="0" w:color="auto"/>
        <w:right w:val="none" w:sz="0" w:space="0" w:color="auto"/>
      </w:divBdr>
    </w:div>
    <w:div w:id="607157881">
      <w:bodyDiv w:val="1"/>
      <w:marLeft w:val="0"/>
      <w:marRight w:val="0"/>
      <w:marTop w:val="0"/>
      <w:marBottom w:val="0"/>
      <w:divBdr>
        <w:top w:val="none" w:sz="0" w:space="0" w:color="auto"/>
        <w:left w:val="none" w:sz="0" w:space="0" w:color="auto"/>
        <w:bottom w:val="none" w:sz="0" w:space="0" w:color="auto"/>
        <w:right w:val="none" w:sz="0" w:space="0" w:color="auto"/>
      </w:divBdr>
    </w:div>
    <w:div w:id="612177116">
      <w:bodyDiv w:val="1"/>
      <w:marLeft w:val="0"/>
      <w:marRight w:val="0"/>
      <w:marTop w:val="0"/>
      <w:marBottom w:val="0"/>
      <w:divBdr>
        <w:top w:val="none" w:sz="0" w:space="0" w:color="auto"/>
        <w:left w:val="none" w:sz="0" w:space="0" w:color="auto"/>
        <w:bottom w:val="none" w:sz="0" w:space="0" w:color="auto"/>
        <w:right w:val="none" w:sz="0" w:space="0" w:color="auto"/>
      </w:divBdr>
    </w:div>
    <w:div w:id="615986387">
      <w:bodyDiv w:val="1"/>
      <w:marLeft w:val="0"/>
      <w:marRight w:val="0"/>
      <w:marTop w:val="0"/>
      <w:marBottom w:val="0"/>
      <w:divBdr>
        <w:top w:val="none" w:sz="0" w:space="0" w:color="auto"/>
        <w:left w:val="none" w:sz="0" w:space="0" w:color="auto"/>
        <w:bottom w:val="none" w:sz="0" w:space="0" w:color="auto"/>
        <w:right w:val="none" w:sz="0" w:space="0" w:color="auto"/>
      </w:divBdr>
    </w:div>
    <w:div w:id="618877058">
      <w:bodyDiv w:val="1"/>
      <w:marLeft w:val="0"/>
      <w:marRight w:val="0"/>
      <w:marTop w:val="0"/>
      <w:marBottom w:val="0"/>
      <w:divBdr>
        <w:top w:val="none" w:sz="0" w:space="0" w:color="auto"/>
        <w:left w:val="none" w:sz="0" w:space="0" w:color="auto"/>
        <w:bottom w:val="none" w:sz="0" w:space="0" w:color="auto"/>
        <w:right w:val="none" w:sz="0" w:space="0" w:color="auto"/>
      </w:divBdr>
    </w:div>
    <w:div w:id="621956054">
      <w:bodyDiv w:val="1"/>
      <w:marLeft w:val="0"/>
      <w:marRight w:val="0"/>
      <w:marTop w:val="0"/>
      <w:marBottom w:val="0"/>
      <w:divBdr>
        <w:top w:val="none" w:sz="0" w:space="0" w:color="auto"/>
        <w:left w:val="none" w:sz="0" w:space="0" w:color="auto"/>
        <w:bottom w:val="none" w:sz="0" w:space="0" w:color="auto"/>
        <w:right w:val="none" w:sz="0" w:space="0" w:color="auto"/>
      </w:divBdr>
    </w:div>
    <w:div w:id="623384954">
      <w:bodyDiv w:val="1"/>
      <w:marLeft w:val="0"/>
      <w:marRight w:val="0"/>
      <w:marTop w:val="0"/>
      <w:marBottom w:val="0"/>
      <w:divBdr>
        <w:top w:val="none" w:sz="0" w:space="0" w:color="auto"/>
        <w:left w:val="none" w:sz="0" w:space="0" w:color="auto"/>
        <w:bottom w:val="none" w:sz="0" w:space="0" w:color="auto"/>
        <w:right w:val="none" w:sz="0" w:space="0" w:color="auto"/>
      </w:divBdr>
    </w:div>
    <w:div w:id="626813723">
      <w:bodyDiv w:val="1"/>
      <w:marLeft w:val="0"/>
      <w:marRight w:val="0"/>
      <w:marTop w:val="0"/>
      <w:marBottom w:val="0"/>
      <w:divBdr>
        <w:top w:val="none" w:sz="0" w:space="0" w:color="auto"/>
        <w:left w:val="none" w:sz="0" w:space="0" w:color="auto"/>
        <w:bottom w:val="none" w:sz="0" w:space="0" w:color="auto"/>
        <w:right w:val="none" w:sz="0" w:space="0" w:color="auto"/>
      </w:divBdr>
    </w:div>
    <w:div w:id="628437722">
      <w:bodyDiv w:val="1"/>
      <w:marLeft w:val="0"/>
      <w:marRight w:val="0"/>
      <w:marTop w:val="0"/>
      <w:marBottom w:val="0"/>
      <w:divBdr>
        <w:top w:val="none" w:sz="0" w:space="0" w:color="auto"/>
        <w:left w:val="none" w:sz="0" w:space="0" w:color="auto"/>
        <w:bottom w:val="none" w:sz="0" w:space="0" w:color="auto"/>
        <w:right w:val="none" w:sz="0" w:space="0" w:color="auto"/>
      </w:divBdr>
    </w:div>
    <w:div w:id="636420522">
      <w:bodyDiv w:val="1"/>
      <w:marLeft w:val="0"/>
      <w:marRight w:val="0"/>
      <w:marTop w:val="0"/>
      <w:marBottom w:val="0"/>
      <w:divBdr>
        <w:top w:val="none" w:sz="0" w:space="0" w:color="auto"/>
        <w:left w:val="none" w:sz="0" w:space="0" w:color="auto"/>
        <w:bottom w:val="none" w:sz="0" w:space="0" w:color="auto"/>
        <w:right w:val="none" w:sz="0" w:space="0" w:color="auto"/>
      </w:divBdr>
    </w:div>
    <w:div w:id="641008774">
      <w:bodyDiv w:val="1"/>
      <w:marLeft w:val="0"/>
      <w:marRight w:val="0"/>
      <w:marTop w:val="0"/>
      <w:marBottom w:val="0"/>
      <w:divBdr>
        <w:top w:val="none" w:sz="0" w:space="0" w:color="auto"/>
        <w:left w:val="none" w:sz="0" w:space="0" w:color="auto"/>
        <w:bottom w:val="none" w:sz="0" w:space="0" w:color="auto"/>
        <w:right w:val="none" w:sz="0" w:space="0" w:color="auto"/>
      </w:divBdr>
    </w:div>
    <w:div w:id="657541551">
      <w:bodyDiv w:val="1"/>
      <w:marLeft w:val="0"/>
      <w:marRight w:val="0"/>
      <w:marTop w:val="0"/>
      <w:marBottom w:val="0"/>
      <w:divBdr>
        <w:top w:val="none" w:sz="0" w:space="0" w:color="auto"/>
        <w:left w:val="none" w:sz="0" w:space="0" w:color="auto"/>
        <w:bottom w:val="none" w:sz="0" w:space="0" w:color="auto"/>
        <w:right w:val="none" w:sz="0" w:space="0" w:color="auto"/>
      </w:divBdr>
    </w:div>
    <w:div w:id="658272268">
      <w:bodyDiv w:val="1"/>
      <w:marLeft w:val="0"/>
      <w:marRight w:val="0"/>
      <w:marTop w:val="0"/>
      <w:marBottom w:val="0"/>
      <w:divBdr>
        <w:top w:val="none" w:sz="0" w:space="0" w:color="auto"/>
        <w:left w:val="none" w:sz="0" w:space="0" w:color="auto"/>
        <w:bottom w:val="none" w:sz="0" w:space="0" w:color="auto"/>
        <w:right w:val="none" w:sz="0" w:space="0" w:color="auto"/>
      </w:divBdr>
    </w:div>
    <w:div w:id="659232063">
      <w:bodyDiv w:val="1"/>
      <w:marLeft w:val="0"/>
      <w:marRight w:val="0"/>
      <w:marTop w:val="0"/>
      <w:marBottom w:val="0"/>
      <w:divBdr>
        <w:top w:val="none" w:sz="0" w:space="0" w:color="auto"/>
        <w:left w:val="none" w:sz="0" w:space="0" w:color="auto"/>
        <w:bottom w:val="none" w:sz="0" w:space="0" w:color="auto"/>
        <w:right w:val="none" w:sz="0" w:space="0" w:color="auto"/>
      </w:divBdr>
    </w:div>
    <w:div w:id="661928534">
      <w:bodyDiv w:val="1"/>
      <w:marLeft w:val="0"/>
      <w:marRight w:val="0"/>
      <w:marTop w:val="0"/>
      <w:marBottom w:val="0"/>
      <w:divBdr>
        <w:top w:val="none" w:sz="0" w:space="0" w:color="auto"/>
        <w:left w:val="none" w:sz="0" w:space="0" w:color="auto"/>
        <w:bottom w:val="none" w:sz="0" w:space="0" w:color="auto"/>
        <w:right w:val="none" w:sz="0" w:space="0" w:color="auto"/>
      </w:divBdr>
    </w:div>
    <w:div w:id="667440804">
      <w:bodyDiv w:val="1"/>
      <w:marLeft w:val="0"/>
      <w:marRight w:val="0"/>
      <w:marTop w:val="0"/>
      <w:marBottom w:val="0"/>
      <w:divBdr>
        <w:top w:val="none" w:sz="0" w:space="0" w:color="auto"/>
        <w:left w:val="none" w:sz="0" w:space="0" w:color="auto"/>
        <w:bottom w:val="none" w:sz="0" w:space="0" w:color="auto"/>
        <w:right w:val="none" w:sz="0" w:space="0" w:color="auto"/>
      </w:divBdr>
    </w:div>
    <w:div w:id="671757774">
      <w:bodyDiv w:val="1"/>
      <w:marLeft w:val="0"/>
      <w:marRight w:val="0"/>
      <w:marTop w:val="0"/>
      <w:marBottom w:val="0"/>
      <w:divBdr>
        <w:top w:val="none" w:sz="0" w:space="0" w:color="auto"/>
        <w:left w:val="none" w:sz="0" w:space="0" w:color="auto"/>
        <w:bottom w:val="none" w:sz="0" w:space="0" w:color="auto"/>
        <w:right w:val="none" w:sz="0" w:space="0" w:color="auto"/>
      </w:divBdr>
    </w:div>
    <w:div w:id="690376633">
      <w:bodyDiv w:val="1"/>
      <w:marLeft w:val="0"/>
      <w:marRight w:val="0"/>
      <w:marTop w:val="0"/>
      <w:marBottom w:val="0"/>
      <w:divBdr>
        <w:top w:val="none" w:sz="0" w:space="0" w:color="auto"/>
        <w:left w:val="none" w:sz="0" w:space="0" w:color="auto"/>
        <w:bottom w:val="none" w:sz="0" w:space="0" w:color="auto"/>
        <w:right w:val="none" w:sz="0" w:space="0" w:color="auto"/>
      </w:divBdr>
    </w:div>
    <w:div w:id="697895621">
      <w:bodyDiv w:val="1"/>
      <w:marLeft w:val="0"/>
      <w:marRight w:val="0"/>
      <w:marTop w:val="0"/>
      <w:marBottom w:val="0"/>
      <w:divBdr>
        <w:top w:val="none" w:sz="0" w:space="0" w:color="auto"/>
        <w:left w:val="none" w:sz="0" w:space="0" w:color="auto"/>
        <w:bottom w:val="none" w:sz="0" w:space="0" w:color="auto"/>
        <w:right w:val="none" w:sz="0" w:space="0" w:color="auto"/>
      </w:divBdr>
    </w:div>
    <w:div w:id="711613025">
      <w:bodyDiv w:val="1"/>
      <w:marLeft w:val="0"/>
      <w:marRight w:val="0"/>
      <w:marTop w:val="0"/>
      <w:marBottom w:val="0"/>
      <w:divBdr>
        <w:top w:val="none" w:sz="0" w:space="0" w:color="auto"/>
        <w:left w:val="none" w:sz="0" w:space="0" w:color="auto"/>
        <w:bottom w:val="none" w:sz="0" w:space="0" w:color="auto"/>
        <w:right w:val="none" w:sz="0" w:space="0" w:color="auto"/>
      </w:divBdr>
    </w:div>
    <w:div w:id="722020874">
      <w:bodyDiv w:val="1"/>
      <w:marLeft w:val="0"/>
      <w:marRight w:val="0"/>
      <w:marTop w:val="0"/>
      <w:marBottom w:val="0"/>
      <w:divBdr>
        <w:top w:val="none" w:sz="0" w:space="0" w:color="auto"/>
        <w:left w:val="none" w:sz="0" w:space="0" w:color="auto"/>
        <w:bottom w:val="none" w:sz="0" w:space="0" w:color="auto"/>
        <w:right w:val="none" w:sz="0" w:space="0" w:color="auto"/>
      </w:divBdr>
    </w:div>
    <w:div w:id="725761579">
      <w:bodyDiv w:val="1"/>
      <w:marLeft w:val="0"/>
      <w:marRight w:val="0"/>
      <w:marTop w:val="0"/>
      <w:marBottom w:val="0"/>
      <w:divBdr>
        <w:top w:val="none" w:sz="0" w:space="0" w:color="auto"/>
        <w:left w:val="none" w:sz="0" w:space="0" w:color="auto"/>
        <w:bottom w:val="none" w:sz="0" w:space="0" w:color="auto"/>
        <w:right w:val="none" w:sz="0" w:space="0" w:color="auto"/>
      </w:divBdr>
    </w:div>
    <w:div w:id="727726050">
      <w:bodyDiv w:val="1"/>
      <w:marLeft w:val="0"/>
      <w:marRight w:val="0"/>
      <w:marTop w:val="0"/>
      <w:marBottom w:val="0"/>
      <w:divBdr>
        <w:top w:val="none" w:sz="0" w:space="0" w:color="auto"/>
        <w:left w:val="none" w:sz="0" w:space="0" w:color="auto"/>
        <w:bottom w:val="none" w:sz="0" w:space="0" w:color="auto"/>
        <w:right w:val="none" w:sz="0" w:space="0" w:color="auto"/>
      </w:divBdr>
    </w:div>
    <w:div w:id="734006898">
      <w:bodyDiv w:val="1"/>
      <w:marLeft w:val="0"/>
      <w:marRight w:val="0"/>
      <w:marTop w:val="0"/>
      <w:marBottom w:val="0"/>
      <w:divBdr>
        <w:top w:val="none" w:sz="0" w:space="0" w:color="auto"/>
        <w:left w:val="none" w:sz="0" w:space="0" w:color="auto"/>
        <w:bottom w:val="none" w:sz="0" w:space="0" w:color="auto"/>
        <w:right w:val="none" w:sz="0" w:space="0" w:color="auto"/>
      </w:divBdr>
    </w:div>
    <w:div w:id="748582923">
      <w:bodyDiv w:val="1"/>
      <w:marLeft w:val="0"/>
      <w:marRight w:val="0"/>
      <w:marTop w:val="0"/>
      <w:marBottom w:val="0"/>
      <w:divBdr>
        <w:top w:val="none" w:sz="0" w:space="0" w:color="auto"/>
        <w:left w:val="none" w:sz="0" w:space="0" w:color="auto"/>
        <w:bottom w:val="none" w:sz="0" w:space="0" w:color="auto"/>
        <w:right w:val="none" w:sz="0" w:space="0" w:color="auto"/>
      </w:divBdr>
    </w:div>
    <w:div w:id="757822781">
      <w:bodyDiv w:val="1"/>
      <w:marLeft w:val="0"/>
      <w:marRight w:val="0"/>
      <w:marTop w:val="0"/>
      <w:marBottom w:val="0"/>
      <w:divBdr>
        <w:top w:val="none" w:sz="0" w:space="0" w:color="auto"/>
        <w:left w:val="none" w:sz="0" w:space="0" w:color="auto"/>
        <w:bottom w:val="none" w:sz="0" w:space="0" w:color="auto"/>
        <w:right w:val="none" w:sz="0" w:space="0" w:color="auto"/>
      </w:divBdr>
    </w:div>
    <w:div w:id="757991355">
      <w:bodyDiv w:val="1"/>
      <w:marLeft w:val="0"/>
      <w:marRight w:val="0"/>
      <w:marTop w:val="0"/>
      <w:marBottom w:val="0"/>
      <w:divBdr>
        <w:top w:val="none" w:sz="0" w:space="0" w:color="auto"/>
        <w:left w:val="none" w:sz="0" w:space="0" w:color="auto"/>
        <w:bottom w:val="none" w:sz="0" w:space="0" w:color="auto"/>
        <w:right w:val="none" w:sz="0" w:space="0" w:color="auto"/>
      </w:divBdr>
    </w:div>
    <w:div w:id="760182920">
      <w:bodyDiv w:val="1"/>
      <w:marLeft w:val="0"/>
      <w:marRight w:val="0"/>
      <w:marTop w:val="0"/>
      <w:marBottom w:val="0"/>
      <w:divBdr>
        <w:top w:val="none" w:sz="0" w:space="0" w:color="auto"/>
        <w:left w:val="none" w:sz="0" w:space="0" w:color="auto"/>
        <w:bottom w:val="none" w:sz="0" w:space="0" w:color="auto"/>
        <w:right w:val="none" w:sz="0" w:space="0" w:color="auto"/>
      </w:divBdr>
    </w:div>
    <w:div w:id="762918116">
      <w:bodyDiv w:val="1"/>
      <w:marLeft w:val="0"/>
      <w:marRight w:val="0"/>
      <w:marTop w:val="0"/>
      <w:marBottom w:val="0"/>
      <w:divBdr>
        <w:top w:val="none" w:sz="0" w:space="0" w:color="auto"/>
        <w:left w:val="none" w:sz="0" w:space="0" w:color="auto"/>
        <w:bottom w:val="none" w:sz="0" w:space="0" w:color="auto"/>
        <w:right w:val="none" w:sz="0" w:space="0" w:color="auto"/>
      </w:divBdr>
    </w:div>
    <w:div w:id="773983639">
      <w:bodyDiv w:val="1"/>
      <w:marLeft w:val="0"/>
      <w:marRight w:val="0"/>
      <w:marTop w:val="0"/>
      <w:marBottom w:val="0"/>
      <w:divBdr>
        <w:top w:val="none" w:sz="0" w:space="0" w:color="auto"/>
        <w:left w:val="none" w:sz="0" w:space="0" w:color="auto"/>
        <w:bottom w:val="none" w:sz="0" w:space="0" w:color="auto"/>
        <w:right w:val="none" w:sz="0" w:space="0" w:color="auto"/>
      </w:divBdr>
    </w:div>
    <w:div w:id="774591252">
      <w:bodyDiv w:val="1"/>
      <w:marLeft w:val="0"/>
      <w:marRight w:val="0"/>
      <w:marTop w:val="0"/>
      <w:marBottom w:val="0"/>
      <w:divBdr>
        <w:top w:val="none" w:sz="0" w:space="0" w:color="auto"/>
        <w:left w:val="none" w:sz="0" w:space="0" w:color="auto"/>
        <w:bottom w:val="none" w:sz="0" w:space="0" w:color="auto"/>
        <w:right w:val="none" w:sz="0" w:space="0" w:color="auto"/>
      </w:divBdr>
    </w:div>
    <w:div w:id="783963016">
      <w:bodyDiv w:val="1"/>
      <w:marLeft w:val="0"/>
      <w:marRight w:val="0"/>
      <w:marTop w:val="0"/>
      <w:marBottom w:val="0"/>
      <w:divBdr>
        <w:top w:val="none" w:sz="0" w:space="0" w:color="auto"/>
        <w:left w:val="none" w:sz="0" w:space="0" w:color="auto"/>
        <w:bottom w:val="none" w:sz="0" w:space="0" w:color="auto"/>
        <w:right w:val="none" w:sz="0" w:space="0" w:color="auto"/>
      </w:divBdr>
    </w:div>
    <w:div w:id="786201807">
      <w:bodyDiv w:val="1"/>
      <w:marLeft w:val="0"/>
      <w:marRight w:val="0"/>
      <w:marTop w:val="0"/>
      <w:marBottom w:val="0"/>
      <w:divBdr>
        <w:top w:val="none" w:sz="0" w:space="0" w:color="auto"/>
        <w:left w:val="none" w:sz="0" w:space="0" w:color="auto"/>
        <w:bottom w:val="none" w:sz="0" w:space="0" w:color="auto"/>
        <w:right w:val="none" w:sz="0" w:space="0" w:color="auto"/>
      </w:divBdr>
    </w:div>
    <w:div w:id="795486099">
      <w:bodyDiv w:val="1"/>
      <w:marLeft w:val="0"/>
      <w:marRight w:val="0"/>
      <w:marTop w:val="0"/>
      <w:marBottom w:val="0"/>
      <w:divBdr>
        <w:top w:val="none" w:sz="0" w:space="0" w:color="auto"/>
        <w:left w:val="none" w:sz="0" w:space="0" w:color="auto"/>
        <w:bottom w:val="none" w:sz="0" w:space="0" w:color="auto"/>
        <w:right w:val="none" w:sz="0" w:space="0" w:color="auto"/>
      </w:divBdr>
    </w:div>
    <w:div w:id="804548860">
      <w:bodyDiv w:val="1"/>
      <w:marLeft w:val="0"/>
      <w:marRight w:val="0"/>
      <w:marTop w:val="0"/>
      <w:marBottom w:val="0"/>
      <w:divBdr>
        <w:top w:val="none" w:sz="0" w:space="0" w:color="auto"/>
        <w:left w:val="none" w:sz="0" w:space="0" w:color="auto"/>
        <w:bottom w:val="none" w:sz="0" w:space="0" w:color="auto"/>
        <w:right w:val="none" w:sz="0" w:space="0" w:color="auto"/>
      </w:divBdr>
    </w:div>
    <w:div w:id="811361999">
      <w:bodyDiv w:val="1"/>
      <w:marLeft w:val="0"/>
      <w:marRight w:val="0"/>
      <w:marTop w:val="0"/>
      <w:marBottom w:val="0"/>
      <w:divBdr>
        <w:top w:val="none" w:sz="0" w:space="0" w:color="auto"/>
        <w:left w:val="none" w:sz="0" w:space="0" w:color="auto"/>
        <w:bottom w:val="none" w:sz="0" w:space="0" w:color="auto"/>
        <w:right w:val="none" w:sz="0" w:space="0" w:color="auto"/>
      </w:divBdr>
    </w:div>
    <w:div w:id="822044712">
      <w:bodyDiv w:val="1"/>
      <w:marLeft w:val="0"/>
      <w:marRight w:val="0"/>
      <w:marTop w:val="0"/>
      <w:marBottom w:val="0"/>
      <w:divBdr>
        <w:top w:val="none" w:sz="0" w:space="0" w:color="auto"/>
        <w:left w:val="none" w:sz="0" w:space="0" w:color="auto"/>
        <w:bottom w:val="none" w:sz="0" w:space="0" w:color="auto"/>
        <w:right w:val="none" w:sz="0" w:space="0" w:color="auto"/>
      </w:divBdr>
    </w:div>
    <w:div w:id="824472151">
      <w:bodyDiv w:val="1"/>
      <w:marLeft w:val="0"/>
      <w:marRight w:val="0"/>
      <w:marTop w:val="0"/>
      <w:marBottom w:val="0"/>
      <w:divBdr>
        <w:top w:val="none" w:sz="0" w:space="0" w:color="auto"/>
        <w:left w:val="none" w:sz="0" w:space="0" w:color="auto"/>
        <w:bottom w:val="none" w:sz="0" w:space="0" w:color="auto"/>
        <w:right w:val="none" w:sz="0" w:space="0" w:color="auto"/>
      </w:divBdr>
    </w:div>
    <w:div w:id="851339910">
      <w:bodyDiv w:val="1"/>
      <w:marLeft w:val="0"/>
      <w:marRight w:val="0"/>
      <w:marTop w:val="0"/>
      <w:marBottom w:val="0"/>
      <w:divBdr>
        <w:top w:val="none" w:sz="0" w:space="0" w:color="auto"/>
        <w:left w:val="none" w:sz="0" w:space="0" w:color="auto"/>
        <w:bottom w:val="none" w:sz="0" w:space="0" w:color="auto"/>
        <w:right w:val="none" w:sz="0" w:space="0" w:color="auto"/>
      </w:divBdr>
    </w:div>
    <w:div w:id="865560646">
      <w:bodyDiv w:val="1"/>
      <w:marLeft w:val="0"/>
      <w:marRight w:val="0"/>
      <w:marTop w:val="0"/>
      <w:marBottom w:val="0"/>
      <w:divBdr>
        <w:top w:val="none" w:sz="0" w:space="0" w:color="auto"/>
        <w:left w:val="none" w:sz="0" w:space="0" w:color="auto"/>
        <w:bottom w:val="none" w:sz="0" w:space="0" w:color="auto"/>
        <w:right w:val="none" w:sz="0" w:space="0" w:color="auto"/>
      </w:divBdr>
    </w:div>
    <w:div w:id="871840328">
      <w:bodyDiv w:val="1"/>
      <w:marLeft w:val="0"/>
      <w:marRight w:val="0"/>
      <w:marTop w:val="0"/>
      <w:marBottom w:val="0"/>
      <w:divBdr>
        <w:top w:val="none" w:sz="0" w:space="0" w:color="auto"/>
        <w:left w:val="none" w:sz="0" w:space="0" w:color="auto"/>
        <w:bottom w:val="none" w:sz="0" w:space="0" w:color="auto"/>
        <w:right w:val="none" w:sz="0" w:space="0" w:color="auto"/>
      </w:divBdr>
    </w:div>
    <w:div w:id="875316522">
      <w:bodyDiv w:val="1"/>
      <w:marLeft w:val="0"/>
      <w:marRight w:val="0"/>
      <w:marTop w:val="0"/>
      <w:marBottom w:val="0"/>
      <w:divBdr>
        <w:top w:val="none" w:sz="0" w:space="0" w:color="auto"/>
        <w:left w:val="none" w:sz="0" w:space="0" w:color="auto"/>
        <w:bottom w:val="none" w:sz="0" w:space="0" w:color="auto"/>
        <w:right w:val="none" w:sz="0" w:space="0" w:color="auto"/>
      </w:divBdr>
    </w:div>
    <w:div w:id="889151637">
      <w:bodyDiv w:val="1"/>
      <w:marLeft w:val="0"/>
      <w:marRight w:val="0"/>
      <w:marTop w:val="0"/>
      <w:marBottom w:val="0"/>
      <w:divBdr>
        <w:top w:val="none" w:sz="0" w:space="0" w:color="auto"/>
        <w:left w:val="none" w:sz="0" w:space="0" w:color="auto"/>
        <w:bottom w:val="none" w:sz="0" w:space="0" w:color="auto"/>
        <w:right w:val="none" w:sz="0" w:space="0" w:color="auto"/>
      </w:divBdr>
    </w:div>
    <w:div w:id="897665411">
      <w:bodyDiv w:val="1"/>
      <w:marLeft w:val="0"/>
      <w:marRight w:val="0"/>
      <w:marTop w:val="0"/>
      <w:marBottom w:val="0"/>
      <w:divBdr>
        <w:top w:val="none" w:sz="0" w:space="0" w:color="auto"/>
        <w:left w:val="none" w:sz="0" w:space="0" w:color="auto"/>
        <w:bottom w:val="none" w:sz="0" w:space="0" w:color="auto"/>
        <w:right w:val="none" w:sz="0" w:space="0" w:color="auto"/>
      </w:divBdr>
    </w:div>
    <w:div w:id="899172236">
      <w:bodyDiv w:val="1"/>
      <w:marLeft w:val="0"/>
      <w:marRight w:val="0"/>
      <w:marTop w:val="0"/>
      <w:marBottom w:val="0"/>
      <w:divBdr>
        <w:top w:val="none" w:sz="0" w:space="0" w:color="auto"/>
        <w:left w:val="none" w:sz="0" w:space="0" w:color="auto"/>
        <w:bottom w:val="none" w:sz="0" w:space="0" w:color="auto"/>
        <w:right w:val="none" w:sz="0" w:space="0" w:color="auto"/>
      </w:divBdr>
    </w:div>
    <w:div w:id="902638112">
      <w:bodyDiv w:val="1"/>
      <w:marLeft w:val="0"/>
      <w:marRight w:val="0"/>
      <w:marTop w:val="0"/>
      <w:marBottom w:val="0"/>
      <w:divBdr>
        <w:top w:val="none" w:sz="0" w:space="0" w:color="auto"/>
        <w:left w:val="none" w:sz="0" w:space="0" w:color="auto"/>
        <w:bottom w:val="none" w:sz="0" w:space="0" w:color="auto"/>
        <w:right w:val="none" w:sz="0" w:space="0" w:color="auto"/>
      </w:divBdr>
    </w:div>
    <w:div w:id="908275020">
      <w:bodyDiv w:val="1"/>
      <w:marLeft w:val="0"/>
      <w:marRight w:val="0"/>
      <w:marTop w:val="0"/>
      <w:marBottom w:val="0"/>
      <w:divBdr>
        <w:top w:val="none" w:sz="0" w:space="0" w:color="auto"/>
        <w:left w:val="none" w:sz="0" w:space="0" w:color="auto"/>
        <w:bottom w:val="none" w:sz="0" w:space="0" w:color="auto"/>
        <w:right w:val="none" w:sz="0" w:space="0" w:color="auto"/>
      </w:divBdr>
    </w:div>
    <w:div w:id="911355063">
      <w:bodyDiv w:val="1"/>
      <w:marLeft w:val="0"/>
      <w:marRight w:val="0"/>
      <w:marTop w:val="0"/>
      <w:marBottom w:val="0"/>
      <w:divBdr>
        <w:top w:val="none" w:sz="0" w:space="0" w:color="auto"/>
        <w:left w:val="none" w:sz="0" w:space="0" w:color="auto"/>
        <w:bottom w:val="none" w:sz="0" w:space="0" w:color="auto"/>
        <w:right w:val="none" w:sz="0" w:space="0" w:color="auto"/>
      </w:divBdr>
    </w:div>
    <w:div w:id="911818900">
      <w:bodyDiv w:val="1"/>
      <w:marLeft w:val="0"/>
      <w:marRight w:val="0"/>
      <w:marTop w:val="0"/>
      <w:marBottom w:val="0"/>
      <w:divBdr>
        <w:top w:val="none" w:sz="0" w:space="0" w:color="auto"/>
        <w:left w:val="none" w:sz="0" w:space="0" w:color="auto"/>
        <w:bottom w:val="none" w:sz="0" w:space="0" w:color="auto"/>
        <w:right w:val="none" w:sz="0" w:space="0" w:color="auto"/>
      </w:divBdr>
    </w:div>
    <w:div w:id="913390534">
      <w:bodyDiv w:val="1"/>
      <w:marLeft w:val="0"/>
      <w:marRight w:val="0"/>
      <w:marTop w:val="0"/>
      <w:marBottom w:val="0"/>
      <w:divBdr>
        <w:top w:val="none" w:sz="0" w:space="0" w:color="auto"/>
        <w:left w:val="none" w:sz="0" w:space="0" w:color="auto"/>
        <w:bottom w:val="none" w:sz="0" w:space="0" w:color="auto"/>
        <w:right w:val="none" w:sz="0" w:space="0" w:color="auto"/>
      </w:divBdr>
    </w:div>
    <w:div w:id="918834592">
      <w:bodyDiv w:val="1"/>
      <w:marLeft w:val="0"/>
      <w:marRight w:val="0"/>
      <w:marTop w:val="0"/>
      <w:marBottom w:val="0"/>
      <w:divBdr>
        <w:top w:val="none" w:sz="0" w:space="0" w:color="auto"/>
        <w:left w:val="none" w:sz="0" w:space="0" w:color="auto"/>
        <w:bottom w:val="none" w:sz="0" w:space="0" w:color="auto"/>
        <w:right w:val="none" w:sz="0" w:space="0" w:color="auto"/>
      </w:divBdr>
    </w:div>
    <w:div w:id="919677356">
      <w:bodyDiv w:val="1"/>
      <w:marLeft w:val="0"/>
      <w:marRight w:val="0"/>
      <w:marTop w:val="0"/>
      <w:marBottom w:val="0"/>
      <w:divBdr>
        <w:top w:val="none" w:sz="0" w:space="0" w:color="auto"/>
        <w:left w:val="none" w:sz="0" w:space="0" w:color="auto"/>
        <w:bottom w:val="none" w:sz="0" w:space="0" w:color="auto"/>
        <w:right w:val="none" w:sz="0" w:space="0" w:color="auto"/>
      </w:divBdr>
    </w:div>
    <w:div w:id="925068194">
      <w:bodyDiv w:val="1"/>
      <w:marLeft w:val="0"/>
      <w:marRight w:val="0"/>
      <w:marTop w:val="0"/>
      <w:marBottom w:val="0"/>
      <w:divBdr>
        <w:top w:val="none" w:sz="0" w:space="0" w:color="auto"/>
        <w:left w:val="none" w:sz="0" w:space="0" w:color="auto"/>
        <w:bottom w:val="none" w:sz="0" w:space="0" w:color="auto"/>
        <w:right w:val="none" w:sz="0" w:space="0" w:color="auto"/>
      </w:divBdr>
    </w:div>
    <w:div w:id="930428614">
      <w:bodyDiv w:val="1"/>
      <w:marLeft w:val="0"/>
      <w:marRight w:val="0"/>
      <w:marTop w:val="0"/>
      <w:marBottom w:val="0"/>
      <w:divBdr>
        <w:top w:val="none" w:sz="0" w:space="0" w:color="auto"/>
        <w:left w:val="none" w:sz="0" w:space="0" w:color="auto"/>
        <w:bottom w:val="none" w:sz="0" w:space="0" w:color="auto"/>
        <w:right w:val="none" w:sz="0" w:space="0" w:color="auto"/>
      </w:divBdr>
    </w:div>
    <w:div w:id="931357409">
      <w:bodyDiv w:val="1"/>
      <w:marLeft w:val="0"/>
      <w:marRight w:val="0"/>
      <w:marTop w:val="0"/>
      <w:marBottom w:val="0"/>
      <w:divBdr>
        <w:top w:val="none" w:sz="0" w:space="0" w:color="auto"/>
        <w:left w:val="none" w:sz="0" w:space="0" w:color="auto"/>
        <w:bottom w:val="none" w:sz="0" w:space="0" w:color="auto"/>
        <w:right w:val="none" w:sz="0" w:space="0" w:color="auto"/>
      </w:divBdr>
    </w:div>
    <w:div w:id="935135019">
      <w:bodyDiv w:val="1"/>
      <w:marLeft w:val="0"/>
      <w:marRight w:val="0"/>
      <w:marTop w:val="0"/>
      <w:marBottom w:val="0"/>
      <w:divBdr>
        <w:top w:val="none" w:sz="0" w:space="0" w:color="auto"/>
        <w:left w:val="none" w:sz="0" w:space="0" w:color="auto"/>
        <w:bottom w:val="none" w:sz="0" w:space="0" w:color="auto"/>
        <w:right w:val="none" w:sz="0" w:space="0" w:color="auto"/>
      </w:divBdr>
    </w:div>
    <w:div w:id="948970763">
      <w:bodyDiv w:val="1"/>
      <w:marLeft w:val="0"/>
      <w:marRight w:val="0"/>
      <w:marTop w:val="0"/>
      <w:marBottom w:val="0"/>
      <w:divBdr>
        <w:top w:val="none" w:sz="0" w:space="0" w:color="auto"/>
        <w:left w:val="none" w:sz="0" w:space="0" w:color="auto"/>
        <w:bottom w:val="none" w:sz="0" w:space="0" w:color="auto"/>
        <w:right w:val="none" w:sz="0" w:space="0" w:color="auto"/>
      </w:divBdr>
    </w:div>
    <w:div w:id="952370173">
      <w:bodyDiv w:val="1"/>
      <w:marLeft w:val="0"/>
      <w:marRight w:val="0"/>
      <w:marTop w:val="0"/>
      <w:marBottom w:val="0"/>
      <w:divBdr>
        <w:top w:val="none" w:sz="0" w:space="0" w:color="auto"/>
        <w:left w:val="none" w:sz="0" w:space="0" w:color="auto"/>
        <w:bottom w:val="none" w:sz="0" w:space="0" w:color="auto"/>
        <w:right w:val="none" w:sz="0" w:space="0" w:color="auto"/>
      </w:divBdr>
    </w:div>
    <w:div w:id="956764980">
      <w:bodyDiv w:val="1"/>
      <w:marLeft w:val="0"/>
      <w:marRight w:val="0"/>
      <w:marTop w:val="0"/>
      <w:marBottom w:val="0"/>
      <w:divBdr>
        <w:top w:val="none" w:sz="0" w:space="0" w:color="auto"/>
        <w:left w:val="none" w:sz="0" w:space="0" w:color="auto"/>
        <w:bottom w:val="none" w:sz="0" w:space="0" w:color="auto"/>
        <w:right w:val="none" w:sz="0" w:space="0" w:color="auto"/>
      </w:divBdr>
    </w:div>
    <w:div w:id="967200265">
      <w:bodyDiv w:val="1"/>
      <w:marLeft w:val="0"/>
      <w:marRight w:val="0"/>
      <w:marTop w:val="0"/>
      <w:marBottom w:val="0"/>
      <w:divBdr>
        <w:top w:val="none" w:sz="0" w:space="0" w:color="auto"/>
        <w:left w:val="none" w:sz="0" w:space="0" w:color="auto"/>
        <w:bottom w:val="none" w:sz="0" w:space="0" w:color="auto"/>
        <w:right w:val="none" w:sz="0" w:space="0" w:color="auto"/>
      </w:divBdr>
    </w:div>
    <w:div w:id="967393778">
      <w:bodyDiv w:val="1"/>
      <w:marLeft w:val="0"/>
      <w:marRight w:val="0"/>
      <w:marTop w:val="0"/>
      <w:marBottom w:val="0"/>
      <w:divBdr>
        <w:top w:val="none" w:sz="0" w:space="0" w:color="auto"/>
        <w:left w:val="none" w:sz="0" w:space="0" w:color="auto"/>
        <w:bottom w:val="none" w:sz="0" w:space="0" w:color="auto"/>
        <w:right w:val="none" w:sz="0" w:space="0" w:color="auto"/>
      </w:divBdr>
    </w:div>
    <w:div w:id="967862083">
      <w:bodyDiv w:val="1"/>
      <w:marLeft w:val="0"/>
      <w:marRight w:val="0"/>
      <w:marTop w:val="0"/>
      <w:marBottom w:val="0"/>
      <w:divBdr>
        <w:top w:val="none" w:sz="0" w:space="0" w:color="auto"/>
        <w:left w:val="none" w:sz="0" w:space="0" w:color="auto"/>
        <w:bottom w:val="none" w:sz="0" w:space="0" w:color="auto"/>
        <w:right w:val="none" w:sz="0" w:space="0" w:color="auto"/>
      </w:divBdr>
    </w:div>
    <w:div w:id="971859365">
      <w:bodyDiv w:val="1"/>
      <w:marLeft w:val="0"/>
      <w:marRight w:val="0"/>
      <w:marTop w:val="0"/>
      <w:marBottom w:val="0"/>
      <w:divBdr>
        <w:top w:val="none" w:sz="0" w:space="0" w:color="auto"/>
        <w:left w:val="none" w:sz="0" w:space="0" w:color="auto"/>
        <w:bottom w:val="none" w:sz="0" w:space="0" w:color="auto"/>
        <w:right w:val="none" w:sz="0" w:space="0" w:color="auto"/>
      </w:divBdr>
    </w:div>
    <w:div w:id="972827681">
      <w:bodyDiv w:val="1"/>
      <w:marLeft w:val="0"/>
      <w:marRight w:val="0"/>
      <w:marTop w:val="0"/>
      <w:marBottom w:val="0"/>
      <w:divBdr>
        <w:top w:val="none" w:sz="0" w:space="0" w:color="auto"/>
        <w:left w:val="none" w:sz="0" w:space="0" w:color="auto"/>
        <w:bottom w:val="none" w:sz="0" w:space="0" w:color="auto"/>
        <w:right w:val="none" w:sz="0" w:space="0" w:color="auto"/>
      </w:divBdr>
      <w:divsChild>
        <w:div w:id="1698194837">
          <w:marLeft w:val="0"/>
          <w:marRight w:val="0"/>
          <w:marTop w:val="0"/>
          <w:marBottom w:val="0"/>
          <w:divBdr>
            <w:top w:val="none" w:sz="0" w:space="0" w:color="auto"/>
            <w:left w:val="none" w:sz="0" w:space="0" w:color="auto"/>
            <w:bottom w:val="none" w:sz="0" w:space="0" w:color="auto"/>
            <w:right w:val="none" w:sz="0" w:space="0" w:color="auto"/>
          </w:divBdr>
          <w:divsChild>
            <w:div w:id="272171608">
              <w:marLeft w:val="0"/>
              <w:marRight w:val="0"/>
              <w:marTop w:val="0"/>
              <w:marBottom w:val="0"/>
              <w:divBdr>
                <w:top w:val="none" w:sz="0" w:space="0" w:color="auto"/>
                <w:left w:val="none" w:sz="0" w:space="0" w:color="auto"/>
                <w:bottom w:val="none" w:sz="0" w:space="0" w:color="auto"/>
                <w:right w:val="none" w:sz="0" w:space="0" w:color="auto"/>
              </w:divBdr>
              <w:divsChild>
                <w:div w:id="1250701779">
                  <w:marLeft w:val="0"/>
                  <w:marRight w:val="0"/>
                  <w:marTop w:val="0"/>
                  <w:marBottom w:val="0"/>
                  <w:divBdr>
                    <w:top w:val="none" w:sz="0" w:space="0" w:color="auto"/>
                    <w:left w:val="none" w:sz="0" w:space="0" w:color="auto"/>
                    <w:bottom w:val="none" w:sz="0" w:space="0" w:color="auto"/>
                    <w:right w:val="none" w:sz="0" w:space="0" w:color="auto"/>
                  </w:divBdr>
                  <w:divsChild>
                    <w:div w:id="2040886549">
                      <w:marLeft w:val="0"/>
                      <w:marRight w:val="0"/>
                      <w:marTop w:val="0"/>
                      <w:marBottom w:val="0"/>
                      <w:divBdr>
                        <w:top w:val="none" w:sz="0" w:space="0" w:color="auto"/>
                        <w:left w:val="none" w:sz="0" w:space="0" w:color="auto"/>
                        <w:bottom w:val="none" w:sz="0" w:space="0" w:color="auto"/>
                        <w:right w:val="none" w:sz="0" w:space="0" w:color="auto"/>
                      </w:divBdr>
                      <w:divsChild>
                        <w:div w:id="660038005">
                          <w:marLeft w:val="405"/>
                          <w:marRight w:val="0"/>
                          <w:marTop w:val="0"/>
                          <w:marBottom w:val="0"/>
                          <w:divBdr>
                            <w:top w:val="none" w:sz="0" w:space="0" w:color="auto"/>
                            <w:left w:val="none" w:sz="0" w:space="0" w:color="auto"/>
                            <w:bottom w:val="none" w:sz="0" w:space="0" w:color="auto"/>
                            <w:right w:val="none" w:sz="0" w:space="0" w:color="auto"/>
                          </w:divBdr>
                          <w:divsChild>
                            <w:div w:id="370570382">
                              <w:marLeft w:val="0"/>
                              <w:marRight w:val="0"/>
                              <w:marTop w:val="0"/>
                              <w:marBottom w:val="0"/>
                              <w:divBdr>
                                <w:top w:val="none" w:sz="0" w:space="0" w:color="auto"/>
                                <w:left w:val="none" w:sz="0" w:space="0" w:color="auto"/>
                                <w:bottom w:val="none" w:sz="0" w:space="0" w:color="auto"/>
                                <w:right w:val="none" w:sz="0" w:space="0" w:color="auto"/>
                              </w:divBdr>
                              <w:divsChild>
                                <w:div w:id="413087638">
                                  <w:marLeft w:val="0"/>
                                  <w:marRight w:val="0"/>
                                  <w:marTop w:val="0"/>
                                  <w:marBottom w:val="0"/>
                                  <w:divBdr>
                                    <w:top w:val="none" w:sz="0" w:space="0" w:color="auto"/>
                                    <w:left w:val="none" w:sz="0" w:space="0" w:color="auto"/>
                                    <w:bottom w:val="none" w:sz="0" w:space="0" w:color="auto"/>
                                    <w:right w:val="none" w:sz="0" w:space="0" w:color="auto"/>
                                  </w:divBdr>
                                  <w:divsChild>
                                    <w:div w:id="2030174676">
                                      <w:marLeft w:val="0"/>
                                      <w:marRight w:val="0"/>
                                      <w:marTop w:val="60"/>
                                      <w:marBottom w:val="0"/>
                                      <w:divBdr>
                                        <w:top w:val="none" w:sz="0" w:space="0" w:color="auto"/>
                                        <w:left w:val="none" w:sz="0" w:space="0" w:color="auto"/>
                                        <w:bottom w:val="none" w:sz="0" w:space="0" w:color="auto"/>
                                        <w:right w:val="none" w:sz="0" w:space="0" w:color="auto"/>
                                      </w:divBdr>
                                      <w:divsChild>
                                        <w:div w:id="1101953990">
                                          <w:marLeft w:val="0"/>
                                          <w:marRight w:val="0"/>
                                          <w:marTop w:val="0"/>
                                          <w:marBottom w:val="0"/>
                                          <w:divBdr>
                                            <w:top w:val="none" w:sz="0" w:space="0" w:color="auto"/>
                                            <w:left w:val="none" w:sz="0" w:space="0" w:color="auto"/>
                                            <w:bottom w:val="none" w:sz="0" w:space="0" w:color="auto"/>
                                            <w:right w:val="none" w:sz="0" w:space="0" w:color="auto"/>
                                          </w:divBdr>
                                          <w:divsChild>
                                            <w:div w:id="1127240338">
                                              <w:marLeft w:val="0"/>
                                              <w:marRight w:val="0"/>
                                              <w:marTop w:val="0"/>
                                              <w:marBottom w:val="0"/>
                                              <w:divBdr>
                                                <w:top w:val="none" w:sz="0" w:space="0" w:color="auto"/>
                                                <w:left w:val="none" w:sz="0" w:space="0" w:color="auto"/>
                                                <w:bottom w:val="none" w:sz="0" w:space="0" w:color="auto"/>
                                                <w:right w:val="none" w:sz="0" w:space="0" w:color="auto"/>
                                              </w:divBdr>
                                              <w:divsChild>
                                                <w:div w:id="1934706378">
                                                  <w:marLeft w:val="0"/>
                                                  <w:marRight w:val="0"/>
                                                  <w:marTop w:val="0"/>
                                                  <w:marBottom w:val="0"/>
                                                  <w:divBdr>
                                                    <w:top w:val="none" w:sz="0" w:space="0" w:color="auto"/>
                                                    <w:left w:val="none" w:sz="0" w:space="0" w:color="auto"/>
                                                    <w:bottom w:val="none" w:sz="0" w:space="0" w:color="auto"/>
                                                    <w:right w:val="none" w:sz="0" w:space="0" w:color="auto"/>
                                                  </w:divBdr>
                                                  <w:divsChild>
                                                    <w:div w:id="1612979802">
                                                      <w:marLeft w:val="0"/>
                                                      <w:marRight w:val="0"/>
                                                      <w:marTop w:val="0"/>
                                                      <w:marBottom w:val="0"/>
                                                      <w:divBdr>
                                                        <w:top w:val="none" w:sz="0" w:space="0" w:color="auto"/>
                                                        <w:left w:val="none" w:sz="0" w:space="0" w:color="auto"/>
                                                        <w:bottom w:val="none" w:sz="0" w:space="0" w:color="auto"/>
                                                        <w:right w:val="none" w:sz="0" w:space="0" w:color="auto"/>
                                                      </w:divBdr>
                                                      <w:divsChild>
                                                        <w:div w:id="110131257">
                                                          <w:marLeft w:val="0"/>
                                                          <w:marRight w:val="0"/>
                                                          <w:marTop w:val="0"/>
                                                          <w:marBottom w:val="0"/>
                                                          <w:divBdr>
                                                            <w:top w:val="none" w:sz="0" w:space="0" w:color="auto"/>
                                                            <w:left w:val="none" w:sz="0" w:space="0" w:color="auto"/>
                                                            <w:bottom w:val="none" w:sz="0" w:space="0" w:color="auto"/>
                                                            <w:right w:val="none" w:sz="0" w:space="0" w:color="auto"/>
                                                          </w:divBdr>
                                                          <w:divsChild>
                                                            <w:div w:id="1578589237">
                                                              <w:marLeft w:val="0"/>
                                                              <w:marRight w:val="0"/>
                                                              <w:marTop w:val="0"/>
                                                              <w:marBottom w:val="0"/>
                                                              <w:divBdr>
                                                                <w:top w:val="none" w:sz="0" w:space="0" w:color="auto"/>
                                                                <w:left w:val="none" w:sz="0" w:space="0" w:color="auto"/>
                                                                <w:bottom w:val="none" w:sz="0" w:space="0" w:color="auto"/>
                                                                <w:right w:val="none" w:sz="0" w:space="0" w:color="auto"/>
                                                              </w:divBdr>
                                                              <w:divsChild>
                                                                <w:div w:id="90470961">
                                                                  <w:marLeft w:val="0"/>
                                                                  <w:marRight w:val="0"/>
                                                                  <w:marTop w:val="0"/>
                                                                  <w:marBottom w:val="0"/>
                                                                  <w:divBdr>
                                                                    <w:top w:val="none" w:sz="0" w:space="0" w:color="auto"/>
                                                                    <w:left w:val="none" w:sz="0" w:space="0" w:color="auto"/>
                                                                    <w:bottom w:val="none" w:sz="0" w:space="0" w:color="auto"/>
                                                                    <w:right w:val="none" w:sz="0" w:space="0" w:color="auto"/>
                                                                  </w:divBdr>
                                                                  <w:divsChild>
                                                                    <w:div w:id="2129815146">
                                                                      <w:marLeft w:val="0"/>
                                                                      <w:marRight w:val="0"/>
                                                                      <w:marTop w:val="0"/>
                                                                      <w:marBottom w:val="0"/>
                                                                      <w:divBdr>
                                                                        <w:top w:val="none" w:sz="0" w:space="0" w:color="auto"/>
                                                                        <w:left w:val="none" w:sz="0" w:space="0" w:color="auto"/>
                                                                        <w:bottom w:val="none" w:sz="0" w:space="0" w:color="auto"/>
                                                                        <w:right w:val="none" w:sz="0" w:space="0" w:color="auto"/>
                                                                      </w:divBdr>
                                                                      <w:divsChild>
                                                                        <w:div w:id="9621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51088">
      <w:bodyDiv w:val="1"/>
      <w:marLeft w:val="0"/>
      <w:marRight w:val="0"/>
      <w:marTop w:val="0"/>
      <w:marBottom w:val="0"/>
      <w:divBdr>
        <w:top w:val="none" w:sz="0" w:space="0" w:color="auto"/>
        <w:left w:val="none" w:sz="0" w:space="0" w:color="auto"/>
        <w:bottom w:val="none" w:sz="0" w:space="0" w:color="auto"/>
        <w:right w:val="none" w:sz="0" w:space="0" w:color="auto"/>
      </w:divBdr>
    </w:div>
    <w:div w:id="987199990">
      <w:bodyDiv w:val="1"/>
      <w:marLeft w:val="0"/>
      <w:marRight w:val="0"/>
      <w:marTop w:val="0"/>
      <w:marBottom w:val="0"/>
      <w:divBdr>
        <w:top w:val="none" w:sz="0" w:space="0" w:color="auto"/>
        <w:left w:val="none" w:sz="0" w:space="0" w:color="auto"/>
        <w:bottom w:val="none" w:sz="0" w:space="0" w:color="auto"/>
        <w:right w:val="none" w:sz="0" w:space="0" w:color="auto"/>
      </w:divBdr>
    </w:div>
    <w:div w:id="988291147">
      <w:bodyDiv w:val="1"/>
      <w:marLeft w:val="0"/>
      <w:marRight w:val="0"/>
      <w:marTop w:val="0"/>
      <w:marBottom w:val="0"/>
      <w:divBdr>
        <w:top w:val="none" w:sz="0" w:space="0" w:color="auto"/>
        <w:left w:val="none" w:sz="0" w:space="0" w:color="auto"/>
        <w:bottom w:val="none" w:sz="0" w:space="0" w:color="auto"/>
        <w:right w:val="none" w:sz="0" w:space="0" w:color="auto"/>
      </w:divBdr>
    </w:div>
    <w:div w:id="989792139">
      <w:bodyDiv w:val="1"/>
      <w:marLeft w:val="0"/>
      <w:marRight w:val="0"/>
      <w:marTop w:val="0"/>
      <w:marBottom w:val="0"/>
      <w:divBdr>
        <w:top w:val="none" w:sz="0" w:space="0" w:color="auto"/>
        <w:left w:val="none" w:sz="0" w:space="0" w:color="auto"/>
        <w:bottom w:val="none" w:sz="0" w:space="0" w:color="auto"/>
        <w:right w:val="none" w:sz="0" w:space="0" w:color="auto"/>
      </w:divBdr>
    </w:div>
    <w:div w:id="989866688">
      <w:bodyDiv w:val="1"/>
      <w:marLeft w:val="0"/>
      <w:marRight w:val="0"/>
      <w:marTop w:val="0"/>
      <w:marBottom w:val="0"/>
      <w:divBdr>
        <w:top w:val="none" w:sz="0" w:space="0" w:color="auto"/>
        <w:left w:val="none" w:sz="0" w:space="0" w:color="auto"/>
        <w:bottom w:val="none" w:sz="0" w:space="0" w:color="auto"/>
        <w:right w:val="none" w:sz="0" w:space="0" w:color="auto"/>
      </w:divBdr>
    </w:div>
    <w:div w:id="998074139">
      <w:bodyDiv w:val="1"/>
      <w:marLeft w:val="0"/>
      <w:marRight w:val="0"/>
      <w:marTop w:val="0"/>
      <w:marBottom w:val="0"/>
      <w:divBdr>
        <w:top w:val="none" w:sz="0" w:space="0" w:color="auto"/>
        <w:left w:val="none" w:sz="0" w:space="0" w:color="auto"/>
        <w:bottom w:val="none" w:sz="0" w:space="0" w:color="auto"/>
        <w:right w:val="none" w:sz="0" w:space="0" w:color="auto"/>
      </w:divBdr>
    </w:div>
    <w:div w:id="1015767196">
      <w:bodyDiv w:val="1"/>
      <w:marLeft w:val="0"/>
      <w:marRight w:val="0"/>
      <w:marTop w:val="0"/>
      <w:marBottom w:val="0"/>
      <w:divBdr>
        <w:top w:val="none" w:sz="0" w:space="0" w:color="auto"/>
        <w:left w:val="none" w:sz="0" w:space="0" w:color="auto"/>
        <w:bottom w:val="none" w:sz="0" w:space="0" w:color="auto"/>
        <w:right w:val="none" w:sz="0" w:space="0" w:color="auto"/>
      </w:divBdr>
    </w:div>
    <w:div w:id="1019427419">
      <w:bodyDiv w:val="1"/>
      <w:marLeft w:val="0"/>
      <w:marRight w:val="0"/>
      <w:marTop w:val="0"/>
      <w:marBottom w:val="0"/>
      <w:divBdr>
        <w:top w:val="none" w:sz="0" w:space="0" w:color="auto"/>
        <w:left w:val="none" w:sz="0" w:space="0" w:color="auto"/>
        <w:bottom w:val="none" w:sz="0" w:space="0" w:color="auto"/>
        <w:right w:val="none" w:sz="0" w:space="0" w:color="auto"/>
      </w:divBdr>
      <w:divsChild>
        <w:div w:id="1433479912">
          <w:marLeft w:val="0"/>
          <w:marRight w:val="0"/>
          <w:marTop w:val="0"/>
          <w:marBottom w:val="0"/>
          <w:divBdr>
            <w:top w:val="none" w:sz="0" w:space="0" w:color="auto"/>
            <w:left w:val="none" w:sz="0" w:space="0" w:color="auto"/>
            <w:bottom w:val="none" w:sz="0" w:space="0" w:color="auto"/>
            <w:right w:val="none" w:sz="0" w:space="0" w:color="auto"/>
          </w:divBdr>
        </w:div>
        <w:div w:id="716780618">
          <w:marLeft w:val="0"/>
          <w:marRight w:val="0"/>
          <w:marTop w:val="0"/>
          <w:marBottom w:val="0"/>
          <w:divBdr>
            <w:top w:val="none" w:sz="0" w:space="0" w:color="auto"/>
            <w:left w:val="none" w:sz="0" w:space="0" w:color="auto"/>
            <w:bottom w:val="none" w:sz="0" w:space="0" w:color="auto"/>
            <w:right w:val="none" w:sz="0" w:space="0" w:color="auto"/>
          </w:divBdr>
        </w:div>
        <w:div w:id="106703343">
          <w:marLeft w:val="0"/>
          <w:marRight w:val="0"/>
          <w:marTop w:val="0"/>
          <w:marBottom w:val="0"/>
          <w:divBdr>
            <w:top w:val="none" w:sz="0" w:space="0" w:color="auto"/>
            <w:left w:val="none" w:sz="0" w:space="0" w:color="auto"/>
            <w:bottom w:val="none" w:sz="0" w:space="0" w:color="auto"/>
            <w:right w:val="none" w:sz="0" w:space="0" w:color="auto"/>
          </w:divBdr>
        </w:div>
      </w:divsChild>
    </w:div>
    <w:div w:id="1035354053">
      <w:bodyDiv w:val="1"/>
      <w:marLeft w:val="0"/>
      <w:marRight w:val="0"/>
      <w:marTop w:val="0"/>
      <w:marBottom w:val="0"/>
      <w:divBdr>
        <w:top w:val="none" w:sz="0" w:space="0" w:color="auto"/>
        <w:left w:val="none" w:sz="0" w:space="0" w:color="auto"/>
        <w:bottom w:val="none" w:sz="0" w:space="0" w:color="auto"/>
        <w:right w:val="none" w:sz="0" w:space="0" w:color="auto"/>
      </w:divBdr>
    </w:div>
    <w:div w:id="1036276622">
      <w:bodyDiv w:val="1"/>
      <w:marLeft w:val="0"/>
      <w:marRight w:val="0"/>
      <w:marTop w:val="0"/>
      <w:marBottom w:val="0"/>
      <w:divBdr>
        <w:top w:val="none" w:sz="0" w:space="0" w:color="auto"/>
        <w:left w:val="none" w:sz="0" w:space="0" w:color="auto"/>
        <w:bottom w:val="none" w:sz="0" w:space="0" w:color="auto"/>
        <w:right w:val="none" w:sz="0" w:space="0" w:color="auto"/>
      </w:divBdr>
    </w:div>
    <w:div w:id="1038824160">
      <w:bodyDiv w:val="1"/>
      <w:marLeft w:val="0"/>
      <w:marRight w:val="0"/>
      <w:marTop w:val="0"/>
      <w:marBottom w:val="0"/>
      <w:divBdr>
        <w:top w:val="none" w:sz="0" w:space="0" w:color="auto"/>
        <w:left w:val="none" w:sz="0" w:space="0" w:color="auto"/>
        <w:bottom w:val="none" w:sz="0" w:space="0" w:color="auto"/>
        <w:right w:val="none" w:sz="0" w:space="0" w:color="auto"/>
      </w:divBdr>
    </w:div>
    <w:div w:id="1042755237">
      <w:bodyDiv w:val="1"/>
      <w:marLeft w:val="0"/>
      <w:marRight w:val="0"/>
      <w:marTop w:val="0"/>
      <w:marBottom w:val="0"/>
      <w:divBdr>
        <w:top w:val="none" w:sz="0" w:space="0" w:color="auto"/>
        <w:left w:val="none" w:sz="0" w:space="0" w:color="auto"/>
        <w:bottom w:val="none" w:sz="0" w:space="0" w:color="auto"/>
        <w:right w:val="none" w:sz="0" w:space="0" w:color="auto"/>
      </w:divBdr>
      <w:divsChild>
        <w:div w:id="162609">
          <w:marLeft w:val="0"/>
          <w:marRight w:val="0"/>
          <w:marTop w:val="0"/>
          <w:marBottom w:val="0"/>
          <w:divBdr>
            <w:top w:val="none" w:sz="0" w:space="0" w:color="auto"/>
            <w:left w:val="none" w:sz="0" w:space="0" w:color="auto"/>
            <w:bottom w:val="none" w:sz="0" w:space="0" w:color="auto"/>
            <w:right w:val="none" w:sz="0" w:space="0" w:color="auto"/>
          </w:divBdr>
          <w:divsChild>
            <w:div w:id="1505825036">
              <w:marLeft w:val="0"/>
              <w:marRight w:val="0"/>
              <w:marTop w:val="0"/>
              <w:marBottom w:val="0"/>
              <w:divBdr>
                <w:top w:val="none" w:sz="0" w:space="0" w:color="auto"/>
                <w:left w:val="none" w:sz="0" w:space="0" w:color="auto"/>
                <w:bottom w:val="none" w:sz="0" w:space="0" w:color="auto"/>
                <w:right w:val="none" w:sz="0" w:space="0" w:color="auto"/>
              </w:divBdr>
              <w:divsChild>
                <w:div w:id="786704823">
                  <w:marLeft w:val="0"/>
                  <w:marRight w:val="0"/>
                  <w:marTop w:val="0"/>
                  <w:marBottom w:val="0"/>
                  <w:divBdr>
                    <w:top w:val="none" w:sz="0" w:space="0" w:color="auto"/>
                    <w:left w:val="none" w:sz="0" w:space="0" w:color="auto"/>
                    <w:bottom w:val="none" w:sz="0" w:space="0" w:color="auto"/>
                    <w:right w:val="none" w:sz="0" w:space="0" w:color="auto"/>
                  </w:divBdr>
                  <w:divsChild>
                    <w:div w:id="962811651">
                      <w:marLeft w:val="0"/>
                      <w:marRight w:val="0"/>
                      <w:marTop w:val="0"/>
                      <w:marBottom w:val="0"/>
                      <w:divBdr>
                        <w:top w:val="none" w:sz="0" w:space="0" w:color="auto"/>
                        <w:left w:val="none" w:sz="0" w:space="0" w:color="auto"/>
                        <w:bottom w:val="none" w:sz="0" w:space="0" w:color="auto"/>
                        <w:right w:val="none" w:sz="0" w:space="0" w:color="auto"/>
                      </w:divBdr>
                      <w:divsChild>
                        <w:div w:id="1496720281">
                          <w:marLeft w:val="0"/>
                          <w:marRight w:val="0"/>
                          <w:marTop w:val="0"/>
                          <w:marBottom w:val="0"/>
                          <w:divBdr>
                            <w:top w:val="none" w:sz="0" w:space="0" w:color="auto"/>
                            <w:left w:val="none" w:sz="0" w:space="0" w:color="auto"/>
                            <w:bottom w:val="none" w:sz="0" w:space="0" w:color="auto"/>
                            <w:right w:val="none" w:sz="0" w:space="0" w:color="auto"/>
                          </w:divBdr>
                          <w:divsChild>
                            <w:div w:id="910844900">
                              <w:marLeft w:val="15"/>
                              <w:marRight w:val="195"/>
                              <w:marTop w:val="0"/>
                              <w:marBottom w:val="0"/>
                              <w:divBdr>
                                <w:top w:val="none" w:sz="0" w:space="0" w:color="auto"/>
                                <w:left w:val="none" w:sz="0" w:space="0" w:color="auto"/>
                                <w:bottom w:val="none" w:sz="0" w:space="0" w:color="auto"/>
                                <w:right w:val="none" w:sz="0" w:space="0" w:color="auto"/>
                              </w:divBdr>
                              <w:divsChild>
                                <w:div w:id="461386673">
                                  <w:marLeft w:val="0"/>
                                  <w:marRight w:val="0"/>
                                  <w:marTop w:val="0"/>
                                  <w:marBottom w:val="0"/>
                                  <w:divBdr>
                                    <w:top w:val="none" w:sz="0" w:space="0" w:color="auto"/>
                                    <w:left w:val="none" w:sz="0" w:space="0" w:color="auto"/>
                                    <w:bottom w:val="none" w:sz="0" w:space="0" w:color="auto"/>
                                    <w:right w:val="none" w:sz="0" w:space="0" w:color="auto"/>
                                  </w:divBdr>
                                  <w:divsChild>
                                    <w:div w:id="1027605391">
                                      <w:marLeft w:val="0"/>
                                      <w:marRight w:val="0"/>
                                      <w:marTop w:val="0"/>
                                      <w:marBottom w:val="0"/>
                                      <w:divBdr>
                                        <w:top w:val="none" w:sz="0" w:space="0" w:color="auto"/>
                                        <w:left w:val="none" w:sz="0" w:space="0" w:color="auto"/>
                                        <w:bottom w:val="none" w:sz="0" w:space="0" w:color="auto"/>
                                        <w:right w:val="none" w:sz="0" w:space="0" w:color="auto"/>
                                      </w:divBdr>
                                      <w:divsChild>
                                        <w:div w:id="40518729">
                                          <w:marLeft w:val="0"/>
                                          <w:marRight w:val="0"/>
                                          <w:marTop w:val="0"/>
                                          <w:marBottom w:val="0"/>
                                          <w:divBdr>
                                            <w:top w:val="none" w:sz="0" w:space="0" w:color="auto"/>
                                            <w:left w:val="none" w:sz="0" w:space="0" w:color="auto"/>
                                            <w:bottom w:val="none" w:sz="0" w:space="0" w:color="auto"/>
                                            <w:right w:val="none" w:sz="0" w:space="0" w:color="auto"/>
                                          </w:divBdr>
                                          <w:divsChild>
                                            <w:div w:id="1805922781">
                                              <w:marLeft w:val="0"/>
                                              <w:marRight w:val="0"/>
                                              <w:marTop w:val="0"/>
                                              <w:marBottom w:val="0"/>
                                              <w:divBdr>
                                                <w:top w:val="none" w:sz="0" w:space="0" w:color="auto"/>
                                                <w:left w:val="none" w:sz="0" w:space="0" w:color="auto"/>
                                                <w:bottom w:val="none" w:sz="0" w:space="0" w:color="auto"/>
                                                <w:right w:val="none" w:sz="0" w:space="0" w:color="auto"/>
                                              </w:divBdr>
                                              <w:divsChild>
                                                <w:div w:id="429743527">
                                                  <w:marLeft w:val="0"/>
                                                  <w:marRight w:val="0"/>
                                                  <w:marTop w:val="0"/>
                                                  <w:marBottom w:val="0"/>
                                                  <w:divBdr>
                                                    <w:top w:val="none" w:sz="0" w:space="0" w:color="auto"/>
                                                    <w:left w:val="none" w:sz="0" w:space="0" w:color="auto"/>
                                                    <w:bottom w:val="none" w:sz="0" w:space="0" w:color="auto"/>
                                                    <w:right w:val="none" w:sz="0" w:space="0" w:color="auto"/>
                                                  </w:divBdr>
                                                  <w:divsChild>
                                                    <w:div w:id="1160846779">
                                                      <w:marLeft w:val="0"/>
                                                      <w:marRight w:val="0"/>
                                                      <w:marTop w:val="0"/>
                                                      <w:marBottom w:val="0"/>
                                                      <w:divBdr>
                                                        <w:top w:val="none" w:sz="0" w:space="0" w:color="auto"/>
                                                        <w:left w:val="none" w:sz="0" w:space="0" w:color="auto"/>
                                                        <w:bottom w:val="none" w:sz="0" w:space="0" w:color="auto"/>
                                                        <w:right w:val="none" w:sz="0" w:space="0" w:color="auto"/>
                                                      </w:divBdr>
                                                      <w:divsChild>
                                                        <w:div w:id="774053461">
                                                          <w:marLeft w:val="0"/>
                                                          <w:marRight w:val="0"/>
                                                          <w:marTop w:val="0"/>
                                                          <w:marBottom w:val="0"/>
                                                          <w:divBdr>
                                                            <w:top w:val="none" w:sz="0" w:space="0" w:color="auto"/>
                                                            <w:left w:val="none" w:sz="0" w:space="0" w:color="auto"/>
                                                            <w:bottom w:val="none" w:sz="0" w:space="0" w:color="auto"/>
                                                            <w:right w:val="none" w:sz="0" w:space="0" w:color="auto"/>
                                                          </w:divBdr>
                                                          <w:divsChild>
                                                            <w:div w:id="713239860">
                                                              <w:marLeft w:val="0"/>
                                                              <w:marRight w:val="0"/>
                                                              <w:marTop w:val="0"/>
                                                              <w:marBottom w:val="0"/>
                                                              <w:divBdr>
                                                                <w:top w:val="none" w:sz="0" w:space="0" w:color="auto"/>
                                                                <w:left w:val="none" w:sz="0" w:space="0" w:color="auto"/>
                                                                <w:bottom w:val="none" w:sz="0" w:space="0" w:color="auto"/>
                                                                <w:right w:val="none" w:sz="0" w:space="0" w:color="auto"/>
                                                              </w:divBdr>
                                                              <w:divsChild>
                                                                <w:div w:id="1047610497">
                                                                  <w:marLeft w:val="0"/>
                                                                  <w:marRight w:val="0"/>
                                                                  <w:marTop w:val="0"/>
                                                                  <w:marBottom w:val="0"/>
                                                                  <w:divBdr>
                                                                    <w:top w:val="none" w:sz="0" w:space="0" w:color="auto"/>
                                                                    <w:left w:val="none" w:sz="0" w:space="0" w:color="auto"/>
                                                                    <w:bottom w:val="none" w:sz="0" w:space="0" w:color="auto"/>
                                                                    <w:right w:val="none" w:sz="0" w:space="0" w:color="auto"/>
                                                                  </w:divBdr>
                                                                  <w:divsChild>
                                                                    <w:div w:id="1939367891">
                                                                      <w:marLeft w:val="405"/>
                                                                      <w:marRight w:val="0"/>
                                                                      <w:marTop w:val="0"/>
                                                                      <w:marBottom w:val="0"/>
                                                                      <w:divBdr>
                                                                        <w:top w:val="none" w:sz="0" w:space="0" w:color="auto"/>
                                                                        <w:left w:val="none" w:sz="0" w:space="0" w:color="auto"/>
                                                                        <w:bottom w:val="none" w:sz="0" w:space="0" w:color="auto"/>
                                                                        <w:right w:val="none" w:sz="0" w:space="0" w:color="auto"/>
                                                                      </w:divBdr>
                                                                      <w:divsChild>
                                                                        <w:div w:id="1677421328">
                                                                          <w:marLeft w:val="0"/>
                                                                          <w:marRight w:val="0"/>
                                                                          <w:marTop w:val="0"/>
                                                                          <w:marBottom w:val="0"/>
                                                                          <w:divBdr>
                                                                            <w:top w:val="none" w:sz="0" w:space="0" w:color="auto"/>
                                                                            <w:left w:val="none" w:sz="0" w:space="0" w:color="auto"/>
                                                                            <w:bottom w:val="none" w:sz="0" w:space="0" w:color="auto"/>
                                                                            <w:right w:val="none" w:sz="0" w:space="0" w:color="auto"/>
                                                                          </w:divBdr>
                                                                          <w:divsChild>
                                                                            <w:div w:id="1039083852">
                                                                              <w:marLeft w:val="0"/>
                                                                              <w:marRight w:val="0"/>
                                                                              <w:marTop w:val="0"/>
                                                                              <w:marBottom w:val="0"/>
                                                                              <w:divBdr>
                                                                                <w:top w:val="none" w:sz="0" w:space="0" w:color="auto"/>
                                                                                <w:left w:val="none" w:sz="0" w:space="0" w:color="auto"/>
                                                                                <w:bottom w:val="none" w:sz="0" w:space="0" w:color="auto"/>
                                                                                <w:right w:val="none" w:sz="0" w:space="0" w:color="auto"/>
                                                                              </w:divBdr>
                                                                              <w:divsChild>
                                                                                <w:div w:id="1047069247">
                                                                                  <w:marLeft w:val="0"/>
                                                                                  <w:marRight w:val="0"/>
                                                                                  <w:marTop w:val="0"/>
                                                                                  <w:marBottom w:val="0"/>
                                                                                  <w:divBdr>
                                                                                    <w:top w:val="none" w:sz="0" w:space="0" w:color="auto"/>
                                                                                    <w:left w:val="none" w:sz="0" w:space="0" w:color="auto"/>
                                                                                    <w:bottom w:val="none" w:sz="0" w:space="0" w:color="auto"/>
                                                                                    <w:right w:val="none" w:sz="0" w:space="0" w:color="auto"/>
                                                                                  </w:divBdr>
                                                                                  <w:divsChild>
                                                                                    <w:div w:id="1825006464">
                                                                                      <w:marLeft w:val="0"/>
                                                                                      <w:marRight w:val="0"/>
                                                                                      <w:marTop w:val="0"/>
                                                                                      <w:marBottom w:val="0"/>
                                                                                      <w:divBdr>
                                                                                        <w:top w:val="none" w:sz="0" w:space="0" w:color="auto"/>
                                                                                        <w:left w:val="none" w:sz="0" w:space="0" w:color="auto"/>
                                                                                        <w:bottom w:val="none" w:sz="0" w:space="0" w:color="auto"/>
                                                                                        <w:right w:val="none" w:sz="0" w:space="0" w:color="auto"/>
                                                                                      </w:divBdr>
                                                                                      <w:divsChild>
                                                                                        <w:div w:id="585844006">
                                                                                          <w:marLeft w:val="0"/>
                                                                                          <w:marRight w:val="0"/>
                                                                                          <w:marTop w:val="0"/>
                                                                                          <w:marBottom w:val="0"/>
                                                                                          <w:divBdr>
                                                                                            <w:top w:val="none" w:sz="0" w:space="0" w:color="auto"/>
                                                                                            <w:left w:val="none" w:sz="0" w:space="0" w:color="auto"/>
                                                                                            <w:bottom w:val="none" w:sz="0" w:space="0" w:color="auto"/>
                                                                                            <w:right w:val="none" w:sz="0" w:space="0" w:color="auto"/>
                                                                                          </w:divBdr>
                                                                                          <w:divsChild>
                                                                                            <w:div w:id="312099725">
                                                                                              <w:marLeft w:val="0"/>
                                                                                              <w:marRight w:val="0"/>
                                                                                              <w:marTop w:val="0"/>
                                                                                              <w:marBottom w:val="0"/>
                                                                                              <w:divBdr>
                                                                                                <w:top w:val="none" w:sz="0" w:space="0" w:color="auto"/>
                                                                                                <w:left w:val="none" w:sz="0" w:space="0" w:color="auto"/>
                                                                                                <w:bottom w:val="none" w:sz="0" w:space="0" w:color="auto"/>
                                                                                                <w:right w:val="none" w:sz="0" w:space="0" w:color="auto"/>
                                                                                              </w:divBdr>
                                                                                              <w:divsChild>
                                                                                                <w:div w:id="1301423771">
                                                                                                  <w:marLeft w:val="0"/>
                                                                                                  <w:marRight w:val="0"/>
                                                                                                  <w:marTop w:val="0"/>
                                                                                                  <w:marBottom w:val="0"/>
                                                                                                  <w:divBdr>
                                                                                                    <w:top w:val="none" w:sz="0" w:space="0" w:color="auto"/>
                                                                                                    <w:left w:val="single" w:sz="12" w:space="8" w:color="auto"/>
                                                                                                    <w:bottom w:val="none" w:sz="0" w:space="0" w:color="auto"/>
                                                                                                    <w:right w:val="none" w:sz="0" w:space="0" w:color="auto"/>
                                                                                                  </w:divBdr>
                                                                                                  <w:divsChild>
                                                                                                    <w:div w:id="950863601">
                                                                                                      <w:marLeft w:val="0"/>
                                                                                                      <w:marRight w:val="0"/>
                                                                                                      <w:marTop w:val="0"/>
                                                                                                      <w:marBottom w:val="0"/>
                                                                                                      <w:divBdr>
                                                                                                        <w:top w:val="none" w:sz="0" w:space="0" w:color="auto"/>
                                                                                                        <w:left w:val="none" w:sz="0" w:space="0" w:color="auto"/>
                                                                                                        <w:bottom w:val="none" w:sz="0" w:space="0" w:color="auto"/>
                                                                                                        <w:right w:val="none" w:sz="0" w:space="0" w:color="auto"/>
                                                                                                      </w:divBdr>
                                                                                                      <w:divsChild>
                                                                                                        <w:div w:id="248857843">
                                                                                                          <w:marLeft w:val="0"/>
                                                                                                          <w:marRight w:val="0"/>
                                                                                                          <w:marTop w:val="0"/>
                                                                                                          <w:marBottom w:val="0"/>
                                                                                                          <w:divBdr>
                                                                                                            <w:top w:val="none" w:sz="0" w:space="0" w:color="auto"/>
                                                                                                            <w:left w:val="none" w:sz="0" w:space="0" w:color="auto"/>
                                                                                                            <w:bottom w:val="none" w:sz="0" w:space="0" w:color="auto"/>
                                                                                                            <w:right w:val="none" w:sz="0" w:space="0" w:color="auto"/>
                                                                                                          </w:divBdr>
                                                                                                          <w:divsChild>
                                                                                                            <w:div w:id="357126303">
                                                                                                              <w:marLeft w:val="0"/>
                                                                                                              <w:marRight w:val="0"/>
                                                                                                              <w:marTop w:val="0"/>
                                                                                                              <w:marBottom w:val="0"/>
                                                                                                              <w:divBdr>
                                                                                                                <w:top w:val="none" w:sz="0" w:space="0" w:color="auto"/>
                                                                                                                <w:left w:val="none" w:sz="0" w:space="0" w:color="auto"/>
                                                                                                                <w:bottom w:val="none" w:sz="0" w:space="0" w:color="auto"/>
                                                                                                                <w:right w:val="none" w:sz="0" w:space="0" w:color="auto"/>
                                                                                                              </w:divBdr>
                                                                                                              <w:divsChild>
                                                                                                                <w:div w:id="503974987">
                                                                                                                  <w:marLeft w:val="0"/>
                                                                                                                  <w:marRight w:val="0"/>
                                                                                                                  <w:marTop w:val="0"/>
                                                                                                                  <w:marBottom w:val="0"/>
                                                                                                                  <w:divBdr>
                                                                                                                    <w:top w:val="none" w:sz="0" w:space="0" w:color="auto"/>
                                                                                                                    <w:left w:val="none" w:sz="0" w:space="0" w:color="auto"/>
                                                                                                                    <w:bottom w:val="none" w:sz="0" w:space="0" w:color="auto"/>
                                                                                                                    <w:right w:val="none" w:sz="0" w:space="0" w:color="auto"/>
                                                                                                                  </w:divBdr>
                                                                                                                  <w:divsChild>
                                                                                                                    <w:div w:id="436601266">
                                                                                                                      <w:marLeft w:val="0"/>
                                                                                                                      <w:marRight w:val="0"/>
                                                                                                                      <w:marTop w:val="0"/>
                                                                                                                      <w:marBottom w:val="0"/>
                                                                                                                      <w:divBdr>
                                                                                                                        <w:top w:val="none" w:sz="0" w:space="0" w:color="auto"/>
                                                                                                                        <w:left w:val="none" w:sz="0" w:space="0" w:color="auto"/>
                                                                                                                        <w:bottom w:val="none" w:sz="0" w:space="0" w:color="auto"/>
                                                                                                                        <w:right w:val="none" w:sz="0" w:space="0" w:color="auto"/>
                                                                                                                      </w:divBdr>
                                                                                                                      <w:divsChild>
                                                                                                                        <w:div w:id="1098257550">
                                                                                                                          <w:marLeft w:val="0"/>
                                                                                                                          <w:marRight w:val="0"/>
                                                                                                                          <w:marTop w:val="0"/>
                                                                                                                          <w:marBottom w:val="0"/>
                                                                                                                          <w:divBdr>
                                                                                                                            <w:top w:val="none" w:sz="0" w:space="0" w:color="auto"/>
                                                                                                                            <w:left w:val="none" w:sz="0" w:space="0" w:color="auto"/>
                                                                                                                            <w:bottom w:val="none" w:sz="0" w:space="0" w:color="auto"/>
                                                                                                                            <w:right w:val="none" w:sz="0" w:space="0" w:color="auto"/>
                                                                                                                          </w:divBdr>
                                                                                                                          <w:divsChild>
                                                                                                                            <w:div w:id="26882646">
                                                                                                                              <w:marLeft w:val="0"/>
                                                                                                                              <w:marRight w:val="0"/>
                                                                                                                              <w:marTop w:val="0"/>
                                                                                                                              <w:marBottom w:val="0"/>
                                                                                                                              <w:divBdr>
                                                                                                                                <w:top w:val="none" w:sz="0" w:space="0" w:color="auto"/>
                                                                                                                                <w:left w:val="none" w:sz="0" w:space="0" w:color="auto"/>
                                                                                                                                <w:bottom w:val="none" w:sz="0" w:space="0" w:color="auto"/>
                                                                                                                                <w:right w:val="none" w:sz="0" w:space="0" w:color="auto"/>
                                                                                                                              </w:divBdr>
                                                                                                                            </w:div>
                                                                                                                            <w:div w:id="66079307">
                                                                                                                              <w:marLeft w:val="0"/>
                                                                                                                              <w:marRight w:val="0"/>
                                                                                                                              <w:marTop w:val="0"/>
                                                                                                                              <w:marBottom w:val="0"/>
                                                                                                                              <w:divBdr>
                                                                                                                                <w:top w:val="none" w:sz="0" w:space="0" w:color="auto"/>
                                                                                                                                <w:left w:val="none" w:sz="0" w:space="0" w:color="auto"/>
                                                                                                                                <w:bottom w:val="none" w:sz="0" w:space="0" w:color="auto"/>
                                                                                                                                <w:right w:val="none" w:sz="0" w:space="0" w:color="auto"/>
                                                                                                                              </w:divBdr>
                                                                                                                            </w:div>
                                                                                                                            <w:div w:id="221329240">
                                                                                                                              <w:marLeft w:val="0"/>
                                                                                                                              <w:marRight w:val="0"/>
                                                                                                                              <w:marTop w:val="0"/>
                                                                                                                              <w:marBottom w:val="0"/>
                                                                                                                              <w:divBdr>
                                                                                                                                <w:top w:val="none" w:sz="0" w:space="0" w:color="auto"/>
                                                                                                                                <w:left w:val="none" w:sz="0" w:space="0" w:color="auto"/>
                                                                                                                                <w:bottom w:val="none" w:sz="0" w:space="0" w:color="auto"/>
                                                                                                                                <w:right w:val="none" w:sz="0" w:space="0" w:color="auto"/>
                                                                                                                              </w:divBdr>
                                                                                                                            </w:div>
                                                                                                                            <w:div w:id="296644073">
                                                                                                                              <w:marLeft w:val="0"/>
                                                                                                                              <w:marRight w:val="0"/>
                                                                                                                              <w:marTop w:val="0"/>
                                                                                                                              <w:marBottom w:val="0"/>
                                                                                                                              <w:divBdr>
                                                                                                                                <w:top w:val="none" w:sz="0" w:space="0" w:color="auto"/>
                                                                                                                                <w:left w:val="none" w:sz="0" w:space="0" w:color="auto"/>
                                                                                                                                <w:bottom w:val="none" w:sz="0" w:space="0" w:color="auto"/>
                                                                                                                                <w:right w:val="none" w:sz="0" w:space="0" w:color="auto"/>
                                                                                                                              </w:divBdr>
                                                                                                                            </w:div>
                                                                                                                            <w:div w:id="369845833">
                                                                                                                              <w:marLeft w:val="0"/>
                                                                                                                              <w:marRight w:val="0"/>
                                                                                                                              <w:marTop w:val="0"/>
                                                                                                                              <w:marBottom w:val="0"/>
                                                                                                                              <w:divBdr>
                                                                                                                                <w:top w:val="none" w:sz="0" w:space="0" w:color="auto"/>
                                                                                                                                <w:left w:val="none" w:sz="0" w:space="0" w:color="auto"/>
                                                                                                                                <w:bottom w:val="none" w:sz="0" w:space="0" w:color="auto"/>
                                                                                                                                <w:right w:val="none" w:sz="0" w:space="0" w:color="auto"/>
                                                                                                                              </w:divBdr>
                                                                                                                            </w:div>
                                                                                                                            <w:div w:id="418673203">
                                                                                                                              <w:marLeft w:val="0"/>
                                                                                                                              <w:marRight w:val="0"/>
                                                                                                                              <w:marTop w:val="0"/>
                                                                                                                              <w:marBottom w:val="0"/>
                                                                                                                              <w:divBdr>
                                                                                                                                <w:top w:val="none" w:sz="0" w:space="0" w:color="auto"/>
                                                                                                                                <w:left w:val="none" w:sz="0" w:space="0" w:color="auto"/>
                                                                                                                                <w:bottom w:val="none" w:sz="0" w:space="0" w:color="auto"/>
                                                                                                                                <w:right w:val="none" w:sz="0" w:space="0" w:color="auto"/>
                                                                                                                              </w:divBdr>
                                                                                                                            </w:div>
                                                                                                                            <w:div w:id="432938437">
                                                                                                                              <w:marLeft w:val="0"/>
                                                                                                                              <w:marRight w:val="0"/>
                                                                                                                              <w:marTop w:val="0"/>
                                                                                                                              <w:marBottom w:val="0"/>
                                                                                                                              <w:divBdr>
                                                                                                                                <w:top w:val="none" w:sz="0" w:space="0" w:color="auto"/>
                                                                                                                                <w:left w:val="none" w:sz="0" w:space="0" w:color="auto"/>
                                                                                                                                <w:bottom w:val="none" w:sz="0" w:space="0" w:color="auto"/>
                                                                                                                                <w:right w:val="none" w:sz="0" w:space="0" w:color="auto"/>
                                                                                                                              </w:divBdr>
                                                                                                                            </w:div>
                                                                                                                            <w:div w:id="536358058">
                                                                                                                              <w:marLeft w:val="0"/>
                                                                                                                              <w:marRight w:val="0"/>
                                                                                                                              <w:marTop w:val="0"/>
                                                                                                                              <w:marBottom w:val="0"/>
                                                                                                                              <w:divBdr>
                                                                                                                                <w:top w:val="none" w:sz="0" w:space="0" w:color="auto"/>
                                                                                                                                <w:left w:val="none" w:sz="0" w:space="0" w:color="auto"/>
                                                                                                                                <w:bottom w:val="none" w:sz="0" w:space="0" w:color="auto"/>
                                                                                                                                <w:right w:val="none" w:sz="0" w:space="0" w:color="auto"/>
                                                                                                                              </w:divBdr>
                                                                                                                            </w:div>
                                                                                                                            <w:div w:id="679619711">
                                                                                                                              <w:marLeft w:val="0"/>
                                                                                                                              <w:marRight w:val="0"/>
                                                                                                                              <w:marTop w:val="0"/>
                                                                                                                              <w:marBottom w:val="0"/>
                                                                                                                              <w:divBdr>
                                                                                                                                <w:top w:val="none" w:sz="0" w:space="0" w:color="auto"/>
                                                                                                                                <w:left w:val="none" w:sz="0" w:space="0" w:color="auto"/>
                                                                                                                                <w:bottom w:val="none" w:sz="0" w:space="0" w:color="auto"/>
                                                                                                                                <w:right w:val="none" w:sz="0" w:space="0" w:color="auto"/>
                                                                                                                              </w:divBdr>
                                                                                                                            </w:div>
                                                                                                                            <w:div w:id="731462120">
                                                                                                                              <w:marLeft w:val="0"/>
                                                                                                                              <w:marRight w:val="0"/>
                                                                                                                              <w:marTop w:val="0"/>
                                                                                                                              <w:marBottom w:val="0"/>
                                                                                                                              <w:divBdr>
                                                                                                                                <w:top w:val="none" w:sz="0" w:space="0" w:color="auto"/>
                                                                                                                                <w:left w:val="none" w:sz="0" w:space="0" w:color="auto"/>
                                                                                                                                <w:bottom w:val="none" w:sz="0" w:space="0" w:color="auto"/>
                                                                                                                                <w:right w:val="none" w:sz="0" w:space="0" w:color="auto"/>
                                                                                                                              </w:divBdr>
                                                                                                                            </w:div>
                                                                                                                            <w:div w:id="819804712">
                                                                                                                              <w:marLeft w:val="0"/>
                                                                                                                              <w:marRight w:val="0"/>
                                                                                                                              <w:marTop w:val="0"/>
                                                                                                                              <w:marBottom w:val="0"/>
                                                                                                                              <w:divBdr>
                                                                                                                                <w:top w:val="none" w:sz="0" w:space="0" w:color="auto"/>
                                                                                                                                <w:left w:val="none" w:sz="0" w:space="0" w:color="auto"/>
                                                                                                                                <w:bottom w:val="none" w:sz="0" w:space="0" w:color="auto"/>
                                                                                                                                <w:right w:val="none" w:sz="0" w:space="0" w:color="auto"/>
                                                                                                                              </w:divBdr>
                                                                                                                            </w:div>
                                                                                                                            <w:div w:id="917059767">
                                                                                                                              <w:marLeft w:val="0"/>
                                                                                                                              <w:marRight w:val="0"/>
                                                                                                                              <w:marTop w:val="0"/>
                                                                                                                              <w:marBottom w:val="0"/>
                                                                                                                              <w:divBdr>
                                                                                                                                <w:top w:val="none" w:sz="0" w:space="0" w:color="auto"/>
                                                                                                                                <w:left w:val="none" w:sz="0" w:space="0" w:color="auto"/>
                                                                                                                                <w:bottom w:val="none" w:sz="0" w:space="0" w:color="auto"/>
                                                                                                                                <w:right w:val="none" w:sz="0" w:space="0" w:color="auto"/>
                                                                                                                              </w:divBdr>
                                                                                                                            </w:div>
                                                                                                                            <w:div w:id="985163455">
                                                                                                                              <w:marLeft w:val="0"/>
                                                                                                                              <w:marRight w:val="0"/>
                                                                                                                              <w:marTop w:val="0"/>
                                                                                                                              <w:marBottom w:val="0"/>
                                                                                                                              <w:divBdr>
                                                                                                                                <w:top w:val="none" w:sz="0" w:space="0" w:color="auto"/>
                                                                                                                                <w:left w:val="none" w:sz="0" w:space="0" w:color="auto"/>
                                                                                                                                <w:bottom w:val="none" w:sz="0" w:space="0" w:color="auto"/>
                                                                                                                                <w:right w:val="none" w:sz="0" w:space="0" w:color="auto"/>
                                                                                                                              </w:divBdr>
                                                                                                                            </w:div>
                                                                                                                            <w:div w:id="1352874752">
                                                                                                                              <w:marLeft w:val="0"/>
                                                                                                                              <w:marRight w:val="0"/>
                                                                                                                              <w:marTop w:val="0"/>
                                                                                                                              <w:marBottom w:val="0"/>
                                                                                                                              <w:divBdr>
                                                                                                                                <w:top w:val="none" w:sz="0" w:space="0" w:color="auto"/>
                                                                                                                                <w:left w:val="none" w:sz="0" w:space="0" w:color="auto"/>
                                                                                                                                <w:bottom w:val="none" w:sz="0" w:space="0" w:color="auto"/>
                                                                                                                                <w:right w:val="none" w:sz="0" w:space="0" w:color="auto"/>
                                                                                                                              </w:divBdr>
                                                                                                                            </w:div>
                                                                                                                            <w:div w:id="1536893220">
                                                                                                                              <w:marLeft w:val="0"/>
                                                                                                                              <w:marRight w:val="0"/>
                                                                                                                              <w:marTop w:val="0"/>
                                                                                                                              <w:marBottom w:val="0"/>
                                                                                                                              <w:divBdr>
                                                                                                                                <w:top w:val="none" w:sz="0" w:space="0" w:color="auto"/>
                                                                                                                                <w:left w:val="none" w:sz="0" w:space="0" w:color="auto"/>
                                                                                                                                <w:bottom w:val="none" w:sz="0" w:space="0" w:color="auto"/>
                                                                                                                                <w:right w:val="none" w:sz="0" w:space="0" w:color="auto"/>
                                                                                                                              </w:divBdr>
                                                                                                                            </w:div>
                                                                                                                            <w:div w:id="1544828285">
                                                                                                                              <w:marLeft w:val="0"/>
                                                                                                                              <w:marRight w:val="0"/>
                                                                                                                              <w:marTop w:val="0"/>
                                                                                                                              <w:marBottom w:val="0"/>
                                                                                                                              <w:divBdr>
                                                                                                                                <w:top w:val="none" w:sz="0" w:space="0" w:color="auto"/>
                                                                                                                                <w:left w:val="none" w:sz="0" w:space="0" w:color="auto"/>
                                                                                                                                <w:bottom w:val="none" w:sz="0" w:space="0" w:color="auto"/>
                                                                                                                                <w:right w:val="none" w:sz="0" w:space="0" w:color="auto"/>
                                                                                                                              </w:divBdr>
                                                                                                                            </w:div>
                                                                                                                            <w:div w:id="1612009801">
                                                                                                                              <w:marLeft w:val="0"/>
                                                                                                                              <w:marRight w:val="0"/>
                                                                                                                              <w:marTop w:val="0"/>
                                                                                                                              <w:marBottom w:val="0"/>
                                                                                                                              <w:divBdr>
                                                                                                                                <w:top w:val="none" w:sz="0" w:space="0" w:color="auto"/>
                                                                                                                                <w:left w:val="none" w:sz="0" w:space="0" w:color="auto"/>
                                                                                                                                <w:bottom w:val="none" w:sz="0" w:space="0" w:color="auto"/>
                                                                                                                                <w:right w:val="none" w:sz="0" w:space="0" w:color="auto"/>
                                                                                                                              </w:divBdr>
                                                                                                                            </w:div>
                                                                                                                            <w:div w:id="1685666235">
                                                                                                                              <w:marLeft w:val="0"/>
                                                                                                                              <w:marRight w:val="0"/>
                                                                                                                              <w:marTop w:val="0"/>
                                                                                                                              <w:marBottom w:val="0"/>
                                                                                                                              <w:divBdr>
                                                                                                                                <w:top w:val="none" w:sz="0" w:space="0" w:color="auto"/>
                                                                                                                                <w:left w:val="none" w:sz="0" w:space="0" w:color="auto"/>
                                                                                                                                <w:bottom w:val="none" w:sz="0" w:space="0" w:color="auto"/>
                                                                                                                                <w:right w:val="none" w:sz="0" w:space="0" w:color="auto"/>
                                                                                                                              </w:divBdr>
                                                                                                                            </w:div>
                                                                                                                            <w:div w:id="1860267979">
                                                                                                                              <w:marLeft w:val="0"/>
                                                                                                                              <w:marRight w:val="0"/>
                                                                                                                              <w:marTop w:val="0"/>
                                                                                                                              <w:marBottom w:val="0"/>
                                                                                                                              <w:divBdr>
                                                                                                                                <w:top w:val="none" w:sz="0" w:space="0" w:color="auto"/>
                                                                                                                                <w:left w:val="none" w:sz="0" w:space="0" w:color="auto"/>
                                                                                                                                <w:bottom w:val="none" w:sz="0" w:space="0" w:color="auto"/>
                                                                                                                                <w:right w:val="none" w:sz="0" w:space="0" w:color="auto"/>
                                                                                                                              </w:divBdr>
                                                                                                                            </w:div>
                                                                                                                            <w:div w:id="1894001543">
                                                                                                                              <w:marLeft w:val="0"/>
                                                                                                                              <w:marRight w:val="0"/>
                                                                                                                              <w:marTop w:val="0"/>
                                                                                                                              <w:marBottom w:val="0"/>
                                                                                                                              <w:divBdr>
                                                                                                                                <w:top w:val="none" w:sz="0" w:space="0" w:color="auto"/>
                                                                                                                                <w:left w:val="none" w:sz="0" w:space="0" w:color="auto"/>
                                                                                                                                <w:bottom w:val="none" w:sz="0" w:space="0" w:color="auto"/>
                                                                                                                                <w:right w:val="none" w:sz="0" w:space="0" w:color="auto"/>
                                                                                                                              </w:divBdr>
                                                                                                                            </w:div>
                                                                                                                            <w:div w:id="20487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838214">
      <w:bodyDiv w:val="1"/>
      <w:marLeft w:val="0"/>
      <w:marRight w:val="0"/>
      <w:marTop w:val="0"/>
      <w:marBottom w:val="0"/>
      <w:divBdr>
        <w:top w:val="none" w:sz="0" w:space="0" w:color="auto"/>
        <w:left w:val="none" w:sz="0" w:space="0" w:color="auto"/>
        <w:bottom w:val="none" w:sz="0" w:space="0" w:color="auto"/>
        <w:right w:val="none" w:sz="0" w:space="0" w:color="auto"/>
      </w:divBdr>
    </w:div>
    <w:div w:id="1049232181">
      <w:bodyDiv w:val="1"/>
      <w:marLeft w:val="0"/>
      <w:marRight w:val="0"/>
      <w:marTop w:val="0"/>
      <w:marBottom w:val="0"/>
      <w:divBdr>
        <w:top w:val="none" w:sz="0" w:space="0" w:color="auto"/>
        <w:left w:val="none" w:sz="0" w:space="0" w:color="auto"/>
        <w:bottom w:val="none" w:sz="0" w:space="0" w:color="auto"/>
        <w:right w:val="none" w:sz="0" w:space="0" w:color="auto"/>
      </w:divBdr>
    </w:div>
    <w:div w:id="1051223792">
      <w:bodyDiv w:val="1"/>
      <w:marLeft w:val="0"/>
      <w:marRight w:val="0"/>
      <w:marTop w:val="0"/>
      <w:marBottom w:val="0"/>
      <w:divBdr>
        <w:top w:val="none" w:sz="0" w:space="0" w:color="auto"/>
        <w:left w:val="none" w:sz="0" w:space="0" w:color="auto"/>
        <w:bottom w:val="none" w:sz="0" w:space="0" w:color="auto"/>
        <w:right w:val="none" w:sz="0" w:space="0" w:color="auto"/>
      </w:divBdr>
    </w:div>
    <w:div w:id="1051687706">
      <w:bodyDiv w:val="1"/>
      <w:marLeft w:val="0"/>
      <w:marRight w:val="0"/>
      <w:marTop w:val="0"/>
      <w:marBottom w:val="0"/>
      <w:divBdr>
        <w:top w:val="none" w:sz="0" w:space="0" w:color="auto"/>
        <w:left w:val="none" w:sz="0" w:space="0" w:color="auto"/>
        <w:bottom w:val="none" w:sz="0" w:space="0" w:color="auto"/>
        <w:right w:val="none" w:sz="0" w:space="0" w:color="auto"/>
      </w:divBdr>
    </w:div>
    <w:div w:id="1056315201">
      <w:bodyDiv w:val="1"/>
      <w:marLeft w:val="0"/>
      <w:marRight w:val="0"/>
      <w:marTop w:val="0"/>
      <w:marBottom w:val="0"/>
      <w:divBdr>
        <w:top w:val="none" w:sz="0" w:space="0" w:color="auto"/>
        <w:left w:val="none" w:sz="0" w:space="0" w:color="auto"/>
        <w:bottom w:val="none" w:sz="0" w:space="0" w:color="auto"/>
        <w:right w:val="none" w:sz="0" w:space="0" w:color="auto"/>
      </w:divBdr>
    </w:div>
    <w:div w:id="1059018334">
      <w:bodyDiv w:val="1"/>
      <w:marLeft w:val="0"/>
      <w:marRight w:val="0"/>
      <w:marTop w:val="0"/>
      <w:marBottom w:val="0"/>
      <w:divBdr>
        <w:top w:val="none" w:sz="0" w:space="0" w:color="auto"/>
        <w:left w:val="none" w:sz="0" w:space="0" w:color="auto"/>
        <w:bottom w:val="none" w:sz="0" w:space="0" w:color="auto"/>
        <w:right w:val="none" w:sz="0" w:space="0" w:color="auto"/>
      </w:divBdr>
    </w:div>
    <w:div w:id="1067416327">
      <w:bodyDiv w:val="1"/>
      <w:marLeft w:val="0"/>
      <w:marRight w:val="0"/>
      <w:marTop w:val="0"/>
      <w:marBottom w:val="0"/>
      <w:divBdr>
        <w:top w:val="none" w:sz="0" w:space="0" w:color="auto"/>
        <w:left w:val="none" w:sz="0" w:space="0" w:color="auto"/>
        <w:bottom w:val="none" w:sz="0" w:space="0" w:color="auto"/>
        <w:right w:val="none" w:sz="0" w:space="0" w:color="auto"/>
      </w:divBdr>
    </w:div>
    <w:div w:id="1075009740">
      <w:bodyDiv w:val="1"/>
      <w:marLeft w:val="0"/>
      <w:marRight w:val="0"/>
      <w:marTop w:val="0"/>
      <w:marBottom w:val="0"/>
      <w:divBdr>
        <w:top w:val="none" w:sz="0" w:space="0" w:color="auto"/>
        <w:left w:val="none" w:sz="0" w:space="0" w:color="auto"/>
        <w:bottom w:val="none" w:sz="0" w:space="0" w:color="auto"/>
        <w:right w:val="none" w:sz="0" w:space="0" w:color="auto"/>
      </w:divBdr>
    </w:div>
    <w:div w:id="1075860745">
      <w:bodyDiv w:val="1"/>
      <w:marLeft w:val="0"/>
      <w:marRight w:val="0"/>
      <w:marTop w:val="0"/>
      <w:marBottom w:val="0"/>
      <w:divBdr>
        <w:top w:val="none" w:sz="0" w:space="0" w:color="auto"/>
        <w:left w:val="none" w:sz="0" w:space="0" w:color="auto"/>
        <w:bottom w:val="none" w:sz="0" w:space="0" w:color="auto"/>
        <w:right w:val="none" w:sz="0" w:space="0" w:color="auto"/>
      </w:divBdr>
    </w:div>
    <w:div w:id="1085690626">
      <w:bodyDiv w:val="1"/>
      <w:marLeft w:val="0"/>
      <w:marRight w:val="0"/>
      <w:marTop w:val="0"/>
      <w:marBottom w:val="0"/>
      <w:divBdr>
        <w:top w:val="none" w:sz="0" w:space="0" w:color="auto"/>
        <w:left w:val="none" w:sz="0" w:space="0" w:color="auto"/>
        <w:bottom w:val="none" w:sz="0" w:space="0" w:color="auto"/>
        <w:right w:val="none" w:sz="0" w:space="0" w:color="auto"/>
      </w:divBdr>
    </w:div>
    <w:div w:id="1089542559">
      <w:bodyDiv w:val="1"/>
      <w:marLeft w:val="0"/>
      <w:marRight w:val="0"/>
      <w:marTop w:val="0"/>
      <w:marBottom w:val="0"/>
      <w:divBdr>
        <w:top w:val="none" w:sz="0" w:space="0" w:color="auto"/>
        <w:left w:val="none" w:sz="0" w:space="0" w:color="auto"/>
        <w:bottom w:val="none" w:sz="0" w:space="0" w:color="auto"/>
        <w:right w:val="none" w:sz="0" w:space="0" w:color="auto"/>
      </w:divBdr>
    </w:div>
    <w:div w:id="1089620804">
      <w:bodyDiv w:val="1"/>
      <w:marLeft w:val="0"/>
      <w:marRight w:val="0"/>
      <w:marTop w:val="0"/>
      <w:marBottom w:val="0"/>
      <w:divBdr>
        <w:top w:val="none" w:sz="0" w:space="0" w:color="auto"/>
        <w:left w:val="none" w:sz="0" w:space="0" w:color="auto"/>
        <w:bottom w:val="none" w:sz="0" w:space="0" w:color="auto"/>
        <w:right w:val="none" w:sz="0" w:space="0" w:color="auto"/>
      </w:divBdr>
    </w:div>
    <w:div w:id="1089885705">
      <w:bodyDiv w:val="1"/>
      <w:marLeft w:val="0"/>
      <w:marRight w:val="0"/>
      <w:marTop w:val="0"/>
      <w:marBottom w:val="0"/>
      <w:divBdr>
        <w:top w:val="none" w:sz="0" w:space="0" w:color="auto"/>
        <w:left w:val="none" w:sz="0" w:space="0" w:color="auto"/>
        <w:bottom w:val="none" w:sz="0" w:space="0" w:color="auto"/>
        <w:right w:val="none" w:sz="0" w:space="0" w:color="auto"/>
      </w:divBdr>
    </w:div>
    <w:div w:id="1097866996">
      <w:bodyDiv w:val="1"/>
      <w:marLeft w:val="0"/>
      <w:marRight w:val="0"/>
      <w:marTop w:val="0"/>
      <w:marBottom w:val="0"/>
      <w:divBdr>
        <w:top w:val="none" w:sz="0" w:space="0" w:color="auto"/>
        <w:left w:val="none" w:sz="0" w:space="0" w:color="auto"/>
        <w:bottom w:val="none" w:sz="0" w:space="0" w:color="auto"/>
        <w:right w:val="none" w:sz="0" w:space="0" w:color="auto"/>
      </w:divBdr>
    </w:div>
    <w:div w:id="1098866295">
      <w:bodyDiv w:val="1"/>
      <w:marLeft w:val="0"/>
      <w:marRight w:val="0"/>
      <w:marTop w:val="0"/>
      <w:marBottom w:val="0"/>
      <w:divBdr>
        <w:top w:val="none" w:sz="0" w:space="0" w:color="auto"/>
        <w:left w:val="none" w:sz="0" w:space="0" w:color="auto"/>
        <w:bottom w:val="none" w:sz="0" w:space="0" w:color="auto"/>
        <w:right w:val="none" w:sz="0" w:space="0" w:color="auto"/>
      </w:divBdr>
    </w:div>
    <w:div w:id="1109621106">
      <w:bodyDiv w:val="1"/>
      <w:marLeft w:val="0"/>
      <w:marRight w:val="0"/>
      <w:marTop w:val="0"/>
      <w:marBottom w:val="0"/>
      <w:divBdr>
        <w:top w:val="none" w:sz="0" w:space="0" w:color="auto"/>
        <w:left w:val="none" w:sz="0" w:space="0" w:color="auto"/>
        <w:bottom w:val="none" w:sz="0" w:space="0" w:color="auto"/>
        <w:right w:val="none" w:sz="0" w:space="0" w:color="auto"/>
      </w:divBdr>
      <w:divsChild>
        <w:div w:id="1235582958">
          <w:marLeft w:val="0"/>
          <w:marRight w:val="0"/>
          <w:marTop w:val="0"/>
          <w:marBottom w:val="0"/>
          <w:divBdr>
            <w:top w:val="none" w:sz="0" w:space="0" w:color="auto"/>
            <w:left w:val="none" w:sz="0" w:space="0" w:color="auto"/>
            <w:bottom w:val="none" w:sz="0" w:space="0" w:color="auto"/>
            <w:right w:val="none" w:sz="0" w:space="0" w:color="auto"/>
          </w:divBdr>
        </w:div>
        <w:div w:id="96485972">
          <w:marLeft w:val="0"/>
          <w:marRight w:val="0"/>
          <w:marTop w:val="0"/>
          <w:marBottom w:val="0"/>
          <w:divBdr>
            <w:top w:val="none" w:sz="0" w:space="0" w:color="auto"/>
            <w:left w:val="none" w:sz="0" w:space="0" w:color="auto"/>
            <w:bottom w:val="none" w:sz="0" w:space="0" w:color="auto"/>
            <w:right w:val="none" w:sz="0" w:space="0" w:color="auto"/>
          </w:divBdr>
        </w:div>
        <w:div w:id="1001155447">
          <w:marLeft w:val="0"/>
          <w:marRight w:val="0"/>
          <w:marTop w:val="0"/>
          <w:marBottom w:val="0"/>
          <w:divBdr>
            <w:top w:val="none" w:sz="0" w:space="0" w:color="auto"/>
            <w:left w:val="none" w:sz="0" w:space="0" w:color="auto"/>
            <w:bottom w:val="none" w:sz="0" w:space="0" w:color="auto"/>
            <w:right w:val="none" w:sz="0" w:space="0" w:color="auto"/>
          </w:divBdr>
        </w:div>
        <w:div w:id="1489401242">
          <w:marLeft w:val="0"/>
          <w:marRight w:val="0"/>
          <w:marTop w:val="0"/>
          <w:marBottom w:val="0"/>
          <w:divBdr>
            <w:top w:val="none" w:sz="0" w:space="0" w:color="auto"/>
            <w:left w:val="none" w:sz="0" w:space="0" w:color="auto"/>
            <w:bottom w:val="none" w:sz="0" w:space="0" w:color="auto"/>
            <w:right w:val="none" w:sz="0" w:space="0" w:color="auto"/>
          </w:divBdr>
        </w:div>
        <w:div w:id="1359744826">
          <w:marLeft w:val="0"/>
          <w:marRight w:val="0"/>
          <w:marTop w:val="0"/>
          <w:marBottom w:val="0"/>
          <w:divBdr>
            <w:top w:val="none" w:sz="0" w:space="0" w:color="auto"/>
            <w:left w:val="none" w:sz="0" w:space="0" w:color="auto"/>
            <w:bottom w:val="none" w:sz="0" w:space="0" w:color="auto"/>
            <w:right w:val="none" w:sz="0" w:space="0" w:color="auto"/>
          </w:divBdr>
        </w:div>
        <w:div w:id="1024134240">
          <w:marLeft w:val="0"/>
          <w:marRight w:val="0"/>
          <w:marTop w:val="0"/>
          <w:marBottom w:val="0"/>
          <w:divBdr>
            <w:top w:val="none" w:sz="0" w:space="0" w:color="auto"/>
            <w:left w:val="none" w:sz="0" w:space="0" w:color="auto"/>
            <w:bottom w:val="none" w:sz="0" w:space="0" w:color="auto"/>
            <w:right w:val="none" w:sz="0" w:space="0" w:color="auto"/>
          </w:divBdr>
        </w:div>
        <w:div w:id="1137333908">
          <w:marLeft w:val="0"/>
          <w:marRight w:val="0"/>
          <w:marTop w:val="0"/>
          <w:marBottom w:val="0"/>
          <w:divBdr>
            <w:top w:val="none" w:sz="0" w:space="0" w:color="auto"/>
            <w:left w:val="none" w:sz="0" w:space="0" w:color="auto"/>
            <w:bottom w:val="none" w:sz="0" w:space="0" w:color="auto"/>
            <w:right w:val="none" w:sz="0" w:space="0" w:color="auto"/>
          </w:divBdr>
        </w:div>
        <w:div w:id="308752514">
          <w:marLeft w:val="0"/>
          <w:marRight w:val="0"/>
          <w:marTop w:val="0"/>
          <w:marBottom w:val="0"/>
          <w:divBdr>
            <w:top w:val="none" w:sz="0" w:space="0" w:color="auto"/>
            <w:left w:val="none" w:sz="0" w:space="0" w:color="auto"/>
            <w:bottom w:val="none" w:sz="0" w:space="0" w:color="auto"/>
            <w:right w:val="none" w:sz="0" w:space="0" w:color="auto"/>
          </w:divBdr>
        </w:div>
        <w:div w:id="2043094204">
          <w:marLeft w:val="0"/>
          <w:marRight w:val="0"/>
          <w:marTop w:val="0"/>
          <w:marBottom w:val="0"/>
          <w:divBdr>
            <w:top w:val="none" w:sz="0" w:space="0" w:color="auto"/>
            <w:left w:val="none" w:sz="0" w:space="0" w:color="auto"/>
            <w:bottom w:val="none" w:sz="0" w:space="0" w:color="auto"/>
            <w:right w:val="none" w:sz="0" w:space="0" w:color="auto"/>
          </w:divBdr>
        </w:div>
        <w:div w:id="1652169508">
          <w:marLeft w:val="0"/>
          <w:marRight w:val="0"/>
          <w:marTop w:val="0"/>
          <w:marBottom w:val="0"/>
          <w:divBdr>
            <w:top w:val="none" w:sz="0" w:space="0" w:color="auto"/>
            <w:left w:val="none" w:sz="0" w:space="0" w:color="auto"/>
            <w:bottom w:val="none" w:sz="0" w:space="0" w:color="auto"/>
            <w:right w:val="none" w:sz="0" w:space="0" w:color="auto"/>
          </w:divBdr>
        </w:div>
        <w:div w:id="897740169">
          <w:marLeft w:val="0"/>
          <w:marRight w:val="0"/>
          <w:marTop w:val="0"/>
          <w:marBottom w:val="0"/>
          <w:divBdr>
            <w:top w:val="none" w:sz="0" w:space="0" w:color="auto"/>
            <w:left w:val="none" w:sz="0" w:space="0" w:color="auto"/>
            <w:bottom w:val="none" w:sz="0" w:space="0" w:color="auto"/>
            <w:right w:val="none" w:sz="0" w:space="0" w:color="auto"/>
          </w:divBdr>
        </w:div>
      </w:divsChild>
    </w:div>
    <w:div w:id="1112625521">
      <w:bodyDiv w:val="1"/>
      <w:marLeft w:val="0"/>
      <w:marRight w:val="0"/>
      <w:marTop w:val="0"/>
      <w:marBottom w:val="0"/>
      <w:divBdr>
        <w:top w:val="none" w:sz="0" w:space="0" w:color="auto"/>
        <w:left w:val="none" w:sz="0" w:space="0" w:color="auto"/>
        <w:bottom w:val="none" w:sz="0" w:space="0" w:color="auto"/>
        <w:right w:val="none" w:sz="0" w:space="0" w:color="auto"/>
      </w:divBdr>
      <w:divsChild>
        <w:div w:id="1323698572">
          <w:marLeft w:val="0"/>
          <w:marRight w:val="0"/>
          <w:marTop w:val="0"/>
          <w:marBottom w:val="0"/>
          <w:divBdr>
            <w:top w:val="none" w:sz="0" w:space="0" w:color="auto"/>
            <w:left w:val="none" w:sz="0" w:space="0" w:color="auto"/>
            <w:bottom w:val="none" w:sz="0" w:space="0" w:color="auto"/>
            <w:right w:val="none" w:sz="0" w:space="0" w:color="auto"/>
          </w:divBdr>
          <w:divsChild>
            <w:div w:id="500969861">
              <w:marLeft w:val="0"/>
              <w:marRight w:val="0"/>
              <w:marTop w:val="0"/>
              <w:marBottom w:val="0"/>
              <w:divBdr>
                <w:top w:val="none" w:sz="0" w:space="0" w:color="auto"/>
                <w:left w:val="none" w:sz="0" w:space="0" w:color="auto"/>
                <w:bottom w:val="none" w:sz="0" w:space="0" w:color="auto"/>
                <w:right w:val="none" w:sz="0" w:space="0" w:color="auto"/>
              </w:divBdr>
              <w:divsChild>
                <w:div w:id="6058473">
                  <w:marLeft w:val="0"/>
                  <w:marRight w:val="0"/>
                  <w:marTop w:val="0"/>
                  <w:marBottom w:val="0"/>
                  <w:divBdr>
                    <w:top w:val="none" w:sz="0" w:space="0" w:color="auto"/>
                    <w:left w:val="none" w:sz="0" w:space="0" w:color="auto"/>
                    <w:bottom w:val="none" w:sz="0" w:space="0" w:color="auto"/>
                    <w:right w:val="none" w:sz="0" w:space="0" w:color="auto"/>
                  </w:divBdr>
                  <w:divsChild>
                    <w:div w:id="1109468616">
                      <w:marLeft w:val="0"/>
                      <w:marRight w:val="0"/>
                      <w:marTop w:val="0"/>
                      <w:marBottom w:val="0"/>
                      <w:divBdr>
                        <w:top w:val="none" w:sz="0" w:space="0" w:color="auto"/>
                        <w:left w:val="none" w:sz="0" w:space="0" w:color="auto"/>
                        <w:bottom w:val="none" w:sz="0" w:space="0" w:color="auto"/>
                        <w:right w:val="none" w:sz="0" w:space="0" w:color="auto"/>
                      </w:divBdr>
                      <w:divsChild>
                        <w:div w:id="1451900627">
                          <w:marLeft w:val="405"/>
                          <w:marRight w:val="0"/>
                          <w:marTop w:val="0"/>
                          <w:marBottom w:val="0"/>
                          <w:divBdr>
                            <w:top w:val="none" w:sz="0" w:space="0" w:color="auto"/>
                            <w:left w:val="none" w:sz="0" w:space="0" w:color="auto"/>
                            <w:bottom w:val="none" w:sz="0" w:space="0" w:color="auto"/>
                            <w:right w:val="none" w:sz="0" w:space="0" w:color="auto"/>
                          </w:divBdr>
                          <w:divsChild>
                            <w:div w:id="120197901">
                              <w:marLeft w:val="0"/>
                              <w:marRight w:val="0"/>
                              <w:marTop w:val="0"/>
                              <w:marBottom w:val="0"/>
                              <w:divBdr>
                                <w:top w:val="none" w:sz="0" w:space="0" w:color="auto"/>
                                <w:left w:val="none" w:sz="0" w:space="0" w:color="auto"/>
                                <w:bottom w:val="none" w:sz="0" w:space="0" w:color="auto"/>
                                <w:right w:val="none" w:sz="0" w:space="0" w:color="auto"/>
                              </w:divBdr>
                              <w:divsChild>
                                <w:div w:id="1301954611">
                                  <w:marLeft w:val="0"/>
                                  <w:marRight w:val="0"/>
                                  <w:marTop w:val="0"/>
                                  <w:marBottom w:val="0"/>
                                  <w:divBdr>
                                    <w:top w:val="none" w:sz="0" w:space="0" w:color="auto"/>
                                    <w:left w:val="none" w:sz="0" w:space="0" w:color="auto"/>
                                    <w:bottom w:val="none" w:sz="0" w:space="0" w:color="auto"/>
                                    <w:right w:val="none" w:sz="0" w:space="0" w:color="auto"/>
                                  </w:divBdr>
                                  <w:divsChild>
                                    <w:div w:id="1336032355">
                                      <w:marLeft w:val="0"/>
                                      <w:marRight w:val="0"/>
                                      <w:marTop w:val="60"/>
                                      <w:marBottom w:val="0"/>
                                      <w:divBdr>
                                        <w:top w:val="none" w:sz="0" w:space="0" w:color="auto"/>
                                        <w:left w:val="none" w:sz="0" w:space="0" w:color="auto"/>
                                        <w:bottom w:val="none" w:sz="0" w:space="0" w:color="auto"/>
                                        <w:right w:val="none" w:sz="0" w:space="0" w:color="auto"/>
                                      </w:divBdr>
                                      <w:divsChild>
                                        <w:div w:id="1845506924">
                                          <w:marLeft w:val="0"/>
                                          <w:marRight w:val="0"/>
                                          <w:marTop w:val="0"/>
                                          <w:marBottom w:val="0"/>
                                          <w:divBdr>
                                            <w:top w:val="none" w:sz="0" w:space="0" w:color="auto"/>
                                            <w:left w:val="none" w:sz="0" w:space="0" w:color="auto"/>
                                            <w:bottom w:val="none" w:sz="0" w:space="0" w:color="auto"/>
                                            <w:right w:val="none" w:sz="0" w:space="0" w:color="auto"/>
                                          </w:divBdr>
                                          <w:divsChild>
                                            <w:div w:id="1915506650">
                                              <w:marLeft w:val="0"/>
                                              <w:marRight w:val="0"/>
                                              <w:marTop w:val="0"/>
                                              <w:marBottom w:val="0"/>
                                              <w:divBdr>
                                                <w:top w:val="none" w:sz="0" w:space="0" w:color="auto"/>
                                                <w:left w:val="none" w:sz="0" w:space="0" w:color="auto"/>
                                                <w:bottom w:val="none" w:sz="0" w:space="0" w:color="auto"/>
                                                <w:right w:val="none" w:sz="0" w:space="0" w:color="auto"/>
                                              </w:divBdr>
                                              <w:divsChild>
                                                <w:div w:id="150752948">
                                                  <w:marLeft w:val="0"/>
                                                  <w:marRight w:val="0"/>
                                                  <w:marTop w:val="0"/>
                                                  <w:marBottom w:val="0"/>
                                                  <w:divBdr>
                                                    <w:top w:val="none" w:sz="0" w:space="0" w:color="auto"/>
                                                    <w:left w:val="none" w:sz="0" w:space="0" w:color="auto"/>
                                                    <w:bottom w:val="none" w:sz="0" w:space="0" w:color="auto"/>
                                                    <w:right w:val="none" w:sz="0" w:space="0" w:color="auto"/>
                                                  </w:divBdr>
                                                  <w:divsChild>
                                                    <w:div w:id="518814732">
                                                      <w:marLeft w:val="0"/>
                                                      <w:marRight w:val="0"/>
                                                      <w:marTop w:val="0"/>
                                                      <w:marBottom w:val="0"/>
                                                      <w:divBdr>
                                                        <w:top w:val="none" w:sz="0" w:space="0" w:color="auto"/>
                                                        <w:left w:val="none" w:sz="0" w:space="0" w:color="auto"/>
                                                        <w:bottom w:val="none" w:sz="0" w:space="0" w:color="auto"/>
                                                        <w:right w:val="none" w:sz="0" w:space="0" w:color="auto"/>
                                                      </w:divBdr>
                                                      <w:divsChild>
                                                        <w:div w:id="777142237">
                                                          <w:marLeft w:val="0"/>
                                                          <w:marRight w:val="0"/>
                                                          <w:marTop w:val="0"/>
                                                          <w:marBottom w:val="0"/>
                                                          <w:divBdr>
                                                            <w:top w:val="none" w:sz="0" w:space="0" w:color="auto"/>
                                                            <w:left w:val="none" w:sz="0" w:space="0" w:color="auto"/>
                                                            <w:bottom w:val="none" w:sz="0" w:space="0" w:color="auto"/>
                                                            <w:right w:val="none" w:sz="0" w:space="0" w:color="auto"/>
                                                          </w:divBdr>
                                                          <w:divsChild>
                                                            <w:div w:id="1742173337">
                                                              <w:marLeft w:val="0"/>
                                                              <w:marRight w:val="0"/>
                                                              <w:marTop w:val="0"/>
                                                              <w:marBottom w:val="0"/>
                                                              <w:divBdr>
                                                                <w:top w:val="none" w:sz="0" w:space="0" w:color="auto"/>
                                                                <w:left w:val="none" w:sz="0" w:space="0" w:color="auto"/>
                                                                <w:bottom w:val="none" w:sz="0" w:space="0" w:color="auto"/>
                                                                <w:right w:val="none" w:sz="0" w:space="0" w:color="auto"/>
                                                              </w:divBdr>
                                                              <w:divsChild>
                                                                <w:div w:id="1877280401">
                                                                  <w:marLeft w:val="0"/>
                                                                  <w:marRight w:val="0"/>
                                                                  <w:marTop w:val="0"/>
                                                                  <w:marBottom w:val="0"/>
                                                                  <w:divBdr>
                                                                    <w:top w:val="none" w:sz="0" w:space="0" w:color="auto"/>
                                                                    <w:left w:val="none" w:sz="0" w:space="0" w:color="auto"/>
                                                                    <w:bottom w:val="none" w:sz="0" w:space="0" w:color="auto"/>
                                                                    <w:right w:val="none" w:sz="0" w:space="0" w:color="auto"/>
                                                                  </w:divBdr>
                                                                  <w:divsChild>
                                                                    <w:div w:id="12097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3861799">
      <w:bodyDiv w:val="1"/>
      <w:marLeft w:val="0"/>
      <w:marRight w:val="0"/>
      <w:marTop w:val="0"/>
      <w:marBottom w:val="0"/>
      <w:divBdr>
        <w:top w:val="none" w:sz="0" w:space="0" w:color="auto"/>
        <w:left w:val="none" w:sz="0" w:space="0" w:color="auto"/>
        <w:bottom w:val="none" w:sz="0" w:space="0" w:color="auto"/>
        <w:right w:val="none" w:sz="0" w:space="0" w:color="auto"/>
      </w:divBdr>
    </w:div>
    <w:div w:id="1119570221">
      <w:bodyDiv w:val="1"/>
      <w:marLeft w:val="0"/>
      <w:marRight w:val="0"/>
      <w:marTop w:val="0"/>
      <w:marBottom w:val="0"/>
      <w:divBdr>
        <w:top w:val="none" w:sz="0" w:space="0" w:color="auto"/>
        <w:left w:val="none" w:sz="0" w:space="0" w:color="auto"/>
        <w:bottom w:val="none" w:sz="0" w:space="0" w:color="auto"/>
        <w:right w:val="none" w:sz="0" w:space="0" w:color="auto"/>
      </w:divBdr>
    </w:div>
    <w:div w:id="1120687712">
      <w:bodyDiv w:val="1"/>
      <w:marLeft w:val="0"/>
      <w:marRight w:val="0"/>
      <w:marTop w:val="0"/>
      <w:marBottom w:val="0"/>
      <w:divBdr>
        <w:top w:val="none" w:sz="0" w:space="0" w:color="auto"/>
        <w:left w:val="none" w:sz="0" w:space="0" w:color="auto"/>
        <w:bottom w:val="none" w:sz="0" w:space="0" w:color="auto"/>
        <w:right w:val="none" w:sz="0" w:space="0" w:color="auto"/>
      </w:divBdr>
    </w:div>
    <w:div w:id="1121873609">
      <w:bodyDiv w:val="1"/>
      <w:marLeft w:val="0"/>
      <w:marRight w:val="0"/>
      <w:marTop w:val="0"/>
      <w:marBottom w:val="0"/>
      <w:divBdr>
        <w:top w:val="none" w:sz="0" w:space="0" w:color="auto"/>
        <w:left w:val="none" w:sz="0" w:space="0" w:color="auto"/>
        <w:bottom w:val="none" w:sz="0" w:space="0" w:color="auto"/>
        <w:right w:val="none" w:sz="0" w:space="0" w:color="auto"/>
      </w:divBdr>
    </w:div>
    <w:div w:id="1123039790">
      <w:bodyDiv w:val="1"/>
      <w:marLeft w:val="0"/>
      <w:marRight w:val="0"/>
      <w:marTop w:val="0"/>
      <w:marBottom w:val="0"/>
      <w:divBdr>
        <w:top w:val="none" w:sz="0" w:space="0" w:color="auto"/>
        <w:left w:val="none" w:sz="0" w:space="0" w:color="auto"/>
        <w:bottom w:val="none" w:sz="0" w:space="0" w:color="auto"/>
        <w:right w:val="none" w:sz="0" w:space="0" w:color="auto"/>
      </w:divBdr>
    </w:div>
    <w:div w:id="1124957223">
      <w:bodyDiv w:val="1"/>
      <w:marLeft w:val="0"/>
      <w:marRight w:val="0"/>
      <w:marTop w:val="0"/>
      <w:marBottom w:val="0"/>
      <w:divBdr>
        <w:top w:val="none" w:sz="0" w:space="0" w:color="auto"/>
        <w:left w:val="none" w:sz="0" w:space="0" w:color="auto"/>
        <w:bottom w:val="none" w:sz="0" w:space="0" w:color="auto"/>
        <w:right w:val="none" w:sz="0" w:space="0" w:color="auto"/>
      </w:divBdr>
    </w:div>
    <w:div w:id="1126584183">
      <w:bodyDiv w:val="1"/>
      <w:marLeft w:val="0"/>
      <w:marRight w:val="0"/>
      <w:marTop w:val="0"/>
      <w:marBottom w:val="0"/>
      <w:divBdr>
        <w:top w:val="none" w:sz="0" w:space="0" w:color="auto"/>
        <w:left w:val="none" w:sz="0" w:space="0" w:color="auto"/>
        <w:bottom w:val="none" w:sz="0" w:space="0" w:color="auto"/>
        <w:right w:val="none" w:sz="0" w:space="0" w:color="auto"/>
      </w:divBdr>
    </w:div>
    <w:div w:id="1129740314">
      <w:bodyDiv w:val="1"/>
      <w:marLeft w:val="0"/>
      <w:marRight w:val="0"/>
      <w:marTop w:val="0"/>
      <w:marBottom w:val="0"/>
      <w:divBdr>
        <w:top w:val="none" w:sz="0" w:space="0" w:color="auto"/>
        <w:left w:val="none" w:sz="0" w:space="0" w:color="auto"/>
        <w:bottom w:val="none" w:sz="0" w:space="0" w:color="auto"/>
        <w:right w:val="none" w:sz="0" w:space="0" w:color="auto"/>
      </w:divBdr>
    </w:div>
    <w:div w:id="1143892040">
      <w:bodyDiv w:val="1"/>
      <w:marLeft w:val="0"/>
      <w:marRight w:val="0"/>
      <w:marTop w:val="0"/>
      <w:marBottom w:val="0"/>
      <w:divBdr>
        <w:top w:val="none" w:sz="0" w:space="0" w:color="auto"/>
        <w:left w:val="none" w:sz="0" w:space="0" w:color="auto"/>
        <w:bottom w:val="none" w:sz="0" w:space="0" w:color="auto"/>
        <w:right w:val="none" w:sz="0" w:space="0" w:color="auto"/>
      </w:divBdr>
    </w:div>
    <w:div w:id="1150712961">
      <w:bodyDiv w:val="1"/>
      <w:marLeft w:val="0"/>
      <w:marRight w:val="0"/>
      <w:marTop w:val="0"/>
      <w:marBottom w:val="0"/>
      <w:divBdr>
        <w:top w:val="none" w:sz="0" w:space="0" w:color="auto"/>
        <w:left w:val="none" w:sz="0" w:space="0" w:color="auto"/>
        <w:bottom w:val="none" w:sz="0" w:space="0" w:color="auto"/>
        <w:right w:val="none" w:sz="0" w:space="0" w:color="auto"/>
      </w:divBdr>
      <w:divsChild>
        <w:div w:id="495190633">
          <w:marLeft w:val="0"/>
          <w:marRight w:val="0"/>
          <w:marTop w:val="0"/>
          <w:marBottom w:val="0"/>
          <w:divBdr>
            <w:top w:val="none" w:sz="0" w:space="0" w:color="auto"/>
            <w:left w:val="none" w:sz="0" w:space="0" w:color="auto"/>
            <w:bottom w:val="none" w:sz="0" w:space="0" w:color="auto"/>
            <w:right w:val="none" w:sz="0" w:space="0" w:color="auto"/>
          </w:divBdr>
        </w:div>
        <w:div w:id="1899396536">
          <w:marLeft w:val="0"/>
          <w:marRight w:val="0"/>
          <w:marTop w:val="0"/>
          <w:marBottom w:val="0"/>
          <w:divBdr>
            <w:top w:val="none" w:sz="0" w:space="0" w:color="auto"/>
            <w:left w:val="none" w:sz="0" w:space="0" w:color="auto"/>
            <w:bottom w:val="none" w:sz="0" w:space="0" w:color="auto"/>
            <w:right w:val="none" w:sz="0" w:space="0" w:color="auto"/>
          </w:divBdr>
        </w:div>
      </w:divsChild>
    </w:div>
    <w:div w:id="1158113540">
      <w:bodyDiv w:val="1"/>
      <w:marLeft w:val="0"/>
      <w:marRight w:val="0"/>
      <w:marTop w:val="0"/>
      <w:marBottom w:val="0"/>
      <w:divBdr>
        <w:top w:val="none" w:sz="0" w:space="0" w:color="auto"/>
        <w:left w:val="none" w:sz="0" w:space="0" w:color="auto"/>
        <w:bottom w:val="none" w:sz="0" w:space="0" w:color="auto"/>
        <w:right w:val="none" w:sz="0" w:space="0" w:color="auto"/>
      </w:divBdr>
    </w:div>
    <w:div w:id="1158230742">
      <w:bodyDiv w:val="1"/>
      <w:marLeft w:val="0"/>
      <w:marRight w:val="0"/>
      <w:marTop w:val="0"/>
      <w:marBottom w:val="0"/>
      <w:divBdr>
        <w:top w:val="none" w:sz="0" w:space="0" w:color="auto"/>
        <w:left w:val="none" w:sz="0" w:space="0" w:color="auto"/>
        <w:bottom w:val="none" w:sz="0" w:space="0" w:color="auto"/>
        <w:right w:val="none" w:sz="0" w:space="0" w:color="auto"/>
      </w:divBdr>
    </w:div>
    <w:div w:id="1161235418">
      <w:bodyDiv w:val="1"/>
      <w:marLeft w:val="0"/>
      <w:marRight w:val="0"/>
      <w:marTop w:val="0"/>
      <w:marBottom w:val="0"/>
      <w:divBdr>
        <w:top w:val="none" w:sz="0" w:space="0" w:color="auto"/>
        <w:left w:val="none" w:sz="0" w:space="0" w:color="auto"/>
        <w:bottom w:val="none" w:sz="0" w:space="0" w:color="auto"/>
        <w:right w:val="none" w:sz="0" w:space="0" w:color="auto"/>
      </w:divBdr>
      <w:divsChild>
        <w:div w:id="1412848962">
          <w:marLeft w:val="0"/>
          <w:marRight w:val="0"/>
          <w:marTop w:val="0"/>
          <w:marBottom w:val="0"/>
          <w:divBdr>
            <w:top w:val="none" w:sz="0" w:space="0" w:color="auto"/>
            <w:left w:val="none" w:sz="0" w:space="0" w:color="auto"/>
            <w:bottom w:val="none" w:sz="0" w:space="0" w:color="auto"/>
            <w:right w:val="none" w:sz="0" w:space="0" w:color="auto"/>
          </w:divBdr>
          <w:divsChild>
            <w:div w:id="1308582954">
              <w:marLeft w:val="0"/>
              <w:marRight w:val="0"/>
              <w:marTop w:val="0"/>
              <w:marBottom w:val="0"/>
              <w:divBdr>
                <w:top w:val="none" w:sz="0" w:space="0" w:color="auto"/>
                <w:left w:val="none" w:sz="0" w:space="0" w:color="auto"/>
                <w:bottom w:val="none" w:sz="0" w:space="0" w:color="auto"/>
                <w:right w:val="none" w:sz="0" w:space="0" w:color="auto"/>
              </w:divBdr>
              <w:divsChild>
                <w:div w:id="1864007120">
                  <w:marLeft w:val="0"/>
                  <w:marRight w:val="0"/>
                  <w:marTop w:val="0"/>
                  <w:marBottom w:val="0"/>
                  <w:divBdr>
                    <w:top w:val="none" w:sz="0" w:space="0" w:color="auto"/>
                    <w:left w:val="none" w:sz="0" w:space="0" w:color="auto"/>
                    <w:bottom w:val="none" w:sz="0" w:space="0" w:color="auto"/>
                    <w:right w:val="none" w:sz="0" w:space="0" w:color="auto"/>
                  </w:divBdr>
                  <w:divsChild>
                    <w:div w:id="1246500278">
                      <w:marLeft w:val="0"/>
                      <w:marRight w:val="0"/>
                      <w:marTop w:val="0"/>
                      <w:marBottom w:val="0"/>
                      <w:divBdr>
                        <w:top w:val="none" w:sz="0" w:space="0" w:color="auto"/>
                        <w:left w:val="none" w:sz="0" w:space="0" w:color="auto"/>
                        <w:bottom w:val="none" w:sz="0" w:space="0" w:color="auto"/>
                        <w:right w:val="none" w:sz="0" w:space="0" w:color="auto"/>
                      </w:divBdr>
                      <w:divsChild>
                        <w:div w:id="912466314">
                          <w:marLeft w:val="0"/>
                          <w:marRight w:val="0"/>
                          <w:marTop w:val="0"/>
                          <w:marBottom w:val="0"/>
                          <w:divBdr>
                            <w:top w:val="none" w:sz="0" w:space="0" w:color="auto"/>
                            <w:left w:val="none" w:sz="0" w:space="0" w:color="auto"/>
                            <w:bottom w:val="none" w:sz="0" w:space="0" w:color="auto"/>
                            <w:right w:val="none" w:sz="0" w:space="0" w:color="auto"/>
                          </w:divBdr>
                          <w:divsChild>
                            <w:div w:id="442767320">
                              <w:marLeft w:val="15"/>
                              <w:marRight w:val="195"/>
                              <w:marTop w:val="0"/>
                              <w:marBottom w:val="0"/>
                              <w:divBdr>
                                <w:top w:val="none" w:sz="0" w:space="0" w:color="auto"/>
                                <w:left w:val="none" w:sz="0" w:space="0" w:color="auto"/>
                                <w:bottom w:val="none" w:sz="0" w:space="0" w:color="auto"/>
                                <w:right w:val="none" w:sz="0" w:space="0" w:color="auto"/>
                              </w:divBdr>
                              <w:divsChild>
                                <w:div w:id="294069061">
                                  <w:marLeft w:val="0"/>
                                  <w:marRight w:val="0"/>
                                  <w:marTop w:val="0"/>
                                  <w:marBottom w:val="0"/>
                                  <w:divBdr>
                                    <w:top w:val="none" w:sz="0" w:space="0" w:color="auto"/>
                                    <w:left w:val="none" w:sz="0" w:space="0" w:color="auto"/>
                                    <w:bottom w:val="none" w:sz="0" w:space="0" w:color="auto"/>
                                    <w:right w:val="none" w:sz="0" w:space="0" w:color="auto"/>
                                  </w:divBdr>
                                  <w:divsChild>
                                    <w:div w:id="2022465139">
                                      <w:marLeft w:val="0"/>
                                      <w:marRight w:val="0"/>
                                      <w:marTop w:val="0"/>
                                      <w:marBottom w:val="0"/>
                                      <w:divBdr>
                                        <w:top w:val="none" w:sz="0" w:space="0" w:color="auto"/>
                                        <w:left w:val="none" w:sz="0" w:space="0" w:color="auto"/>
                                        <w:bottom w:val="none" w:sz="0" w:space="0" w:color="auto"/>
                                        <w:right w:val="none" w:sz="0" w:space="0" w:color="auto"/>
                                      </w:divBdr>
                                      <w:divsChild>
                                        <w:div w:id="53941716">
                                          <w:marLeft w:val="0"/>
                                          <w:marRight w:val="0"/>
                                          <w:marTop w:val="0"/>
                                          <w:marBottom w:val="0"/>
                                          <w:divBdr>
                                            <w:top w:val="none" w:sz="0" w:space="0" w:color="auto"/>
                                            <w:left w:val="none" w:sz="0" w:space="0" w:color="auto"/>
                                            <w:bottom w:val="none" w:sz="0" w:space="0" w:color="auto"/>
                                            <w:right w:val="none" w:sz="0" w:space="0" w:color="auto"/>
                                          </w:divBdr>
                                          <w:divsChild>
                                            <w:div w:id="1804955482">
                                              <w:marLeft w:val="0"/>
                                              <w:marRight w:val="0"/>
                                              <w:marTop w:val="0"/>
                                              <w:marBottom w:val="0"/>
                                              <w:divBdr>
                                                <w:top w:val="none" w:sz="0" w:space="0" w:color="auto"/>
                                                <w:left w:val="none" w:sz="0" w:space="0" w:color="auto"/>
                                                <w:bottom w:val="none" w:sz="0" w:space="0" w:color="auto"/>
                                                <w:right w:val="none" w:sz="0" w:space="0" w:color="auto"/>
                                              </w:divBdr>
                                              <w:divsChild>
                                                <w:div w:id="292953129">
                                                  <w:marLeft w:val="0"/>
                                                  <w:marRight w:val="0"/>
                                                  <w:marTop w:val="0"/>
                                                  <w:marBottom w:val="0"/>
                                                  <w:divBdr>
                                                    <w:top w:val="none" w:sz="0" w:space="0" w:color="auto"/>
                                                    <w:left w:val="none" w:sz="0" w:space="0" w:color="auto"/>
                                                    <w:bottom w:val="none" w:sz="0" w:space="0" w:color="auto"/>
                                                    <w:right w:val="none" w:sz="0" w:space="0" w:color="auto"/>
                                                  </w:divBdr>
                                                  <w:divsChild>
                                                    <w:div w:id="1373455672">
                                                      <w:marLeft w:val="0"/>
                                                      <w:marRight w:val="0"/>
                                                      <w:marTop w:val="0"/>
                                                      <w:marBottom w:val="0"/>
                                                      <w:divBdr>
                                                        <w:top w:val="none" w:sz="0" w:space="0" w:color="auto"/>
                                                        <w:left w:val="none" w:sz="0" w:space="0" w:color="auto"/>
                                                        <w:bottom w:val="none" w:sz="0" w:space="0" w:color="auto"/>
                                                        <w:right w:val="none" w:sz="0" w:space="0" w:color="auto"/>
                                                      </w:divBdr>
                                                      <w:divsChild>
                                                        <w:div w:id="1761028044">
                                                          <w:marLeft w:val="0"/>
                                                          <w:marRight w:val="0"/>
                                                          <w:marTop w:val="0"/>
                                                          <w:marBottom w:val="0"/>
                                                          <w:divBdr>
                                                            <w:top w:val="none" w:sz="0" w:space="0" w:color="auto"/>
                                                            <w:left w:val="none" w:sz="0" w:space="0" w:color="auto"/>
                                                            <w:bottom w:val="none" w:sz="0" w:space="0" w:color="auto"/>
                                                            <w:right w:val="none" w:sz="0" w:space="0" w:color="auto"/>
                                                          </w:divBdr>
                                                          <w:divsChild>
                                                            <w:div w:id="1181892702">
                                                              <w:marLeft w:val="0"/>
                                                              <w:marRight w:val="0"/>
                                                              <w:marTop w:val="0"/>
                                                              <w:marBottom w:val="0"/>
                                                              <w:divBdr>
                                                                <w:top w:val="none" w:sz="0" w:space="0" w:color="auto"/>
                                                                <w:left w:val="none" w:sz="0" w:space="0" w:color="auto"/>
                                                                <w:bottom w:val="none" w:sz="0" w:space="0" w:color="auto"/>
                                                                <w:right w:val="none" w:sz="0" w:space="0" w:color="auto"/>
                                                              </w:divBdr>
                                                              <w:divsChild>
                                                                <w:div w:id="2006476515">
                                                                  <w:marLeft w:val="0"/>
                                                                  <w:marRight w:val="0"/>
                                                                  <w:marTop w:val="0"/>
                                                                  <w:marBottom w:val="0"/>
                                                                  <w:divBdr>
                                                                    <w:top w:val="none" w:sz="0" w:space="0" w:color="auto"/>
                                                                    <w:left w:val="none" w:sz="0" w:space="0" w:color="auto"/>
                                                                    <w:bottom w:val="none" w:sz="0" w:space="0" w:color="auto"/>
                                                                    <w:right w:val="none" w:sz="0" w:space="0" w:color="auto"/>
                                                                  </w:divBdr>
                                                                  <w:divsChild>
                                                                    <w:div w:id="1535116478">
                                                                      <w:marLeft w:val="405"/>
                                                                      <w:marRight w:val="0"/>
                                                                      <w:marTop w:val="0"/>
                                                                      <w:marBottom w:val="0"/>
                                                                      <w:divBdr>
                                                                        <w:top w:val="none" w:sz="0" w:space="0" w:color="auto"/>
                                                                        <w:left w:val="none" w:sz="0" w:space="0" w:color="auto"/>
                                                                        <w:bottom w:val="none" w:sz="0" w:space="0" w:color="auto"/>
                                                                        <w:right w:val="none" w:sz="0" w:space="0" w:color="auto"/>
                                                                      </w:divBdr>
                                                                      <w:divsChild>
                                                                        <w:div w:id="430273463">
                                                                          <w:marLeft w:val="0"/>
                                                                          <w:marRight w:val="0"/>
                                                                          <w:marTop w:val="0"/>
                                                                          <w:marBottom w:val="0"/>
                                                                          <w:divBdr>
                                                                            <w:top w:val="none" w:sz="0" w:space="0" w:color="auto"/>
                                                                            <w:left w:val="none" w:sz="0" w:space="0" w:color="auto"/>
                                                                            <w:bottom w:val="none" w:sz="0" w:space="0" w:color="auto"/>
                                                                            <w:right w:val="none" w:sz="0" w:space="0" w:color="auto"/>
                                                                          </w:divBdr>
                                                                          <w:divsChild>
                                                                            <w:div w:id="1631014721">
                                                                              <w:marLeft w:val="0"/>
                                                                              <w:marRight w:val="0"/>
                                                                              <w:marTop w:val="0"/>
                                                                              <w:marBottom w:val="0"/>
                                                                              <w:divBdr>
                                                                                <w:top w:val="none" w:sz="0" w:space="0" w:color="auto"/>
                                                                                <w:left w:val="none" w:sz="0" w:space="0" w:color="auto"/>
                                                                                <w:bottom w:val="none" w:sz="0" w:space="0" w:color="auto"/>
                                                                                <w:right w:val="none" w:sz="0" w:space="0" w:color="auto"/>
                                                                              </w:divBdr>
                                                                              <w:divsChild>
                                                                                <w:div w:id="1715234595">
                                                                                  <w:marLeft w:val="0"/>
                                                                                  <w:marRight w:val="0"/>
                                                                                  <w:marTop w:val="0"/>
                                                                                  <w:marBottom w:val="0"/>
                                                                                  <w:divBdr>
                                                                                    <w:top w:val="none" w:sz="0" w:space="0" w:color="auto"/>
                                                                                    <w:left w:val="none" w:sz="0" w:space="0" w:color="auto"/>
                                                                                    <w:bottom w:val="none" w:sz="0" w:space="0" w:color="auto"/>
                                                                                    <w:right w:val="none" w:sz="0" w:space="0" w:color="auto"/>
                                                                                  </w:divBdr>
                                                                                  <w:divsChild>
                                                                                    <w:div w:id="482935504">
                                                                                      <w:marLeft w:val="0"/>
                                                                                      <w:marRight w:val="0"/>
                                                                                      <w:marTop w:val="0"/>
                                                                                      <w:marBottom w:val="0"/>
                                                                                      <w:divBdr>
                                                                                        <w:top w:val="none" w:sz="0" w:space="0" w:color="auto"/>
                                                                                        <w:left w:val="none" w:sz="0" w:space="0" w:color="auto"/>
                                                                                        <w:bottom w:val="none" w:sz="0" w:space="0" w:color="auto"/>
                                                                                        <w:right w:val="none" w:sz="0" w:space="0" w:color="auto"/>
                                                                                      </w:divBdr>
                                                                                      <w:divsChild>
                                                                                        <w:div w:id="374542581">
                                                                                          <w:marLeft w:val="0"/>
                                                                                          <w:marRight w:val="0"/>
                                                                                          <w:marTop w:val="0"/>
                                                                                          <w:marBottom w:val="0"/>
                                                                                          <w:divBdr>
                                                                                            <w:top w:val="none" w:sz="0" w:space="0" w:color="auto"/>
                                                                                            <w:left w:val="none" w:sz="0" w:space="0" w:color="auto"/>
                                                                                            <w:bottom w:val="none" w:sz="0" w:space="0" w:color="auto"/>
                                                                                            <w:right w:val="none" w:sz="0" w:space="0" w:color="auto"/>
                                                                                          </w:divBdr>
                                                                                          <w:divsChild>
                                                                                            <w:div w:id="1034842934">
                                                                                              <w:marLeft w:val="0"/>
                                                                                              <w:marRight w:val="0"/>
                                                                                              <w:marTop w:val="0"/>
                                                                                              <w:marBottom w:val="0"/>
                                                                                              <w:divBdr>
                                                                                                <w:top w:val="none" w:sz="0" w:space="0" w:color="auto"/>
                                                                                                <w:left w:val="none" w:sz="0" w:space="0" w:color="auto"/>
                                                                                                <w:bottom w:val="none" w:sz="0" w:space="0" w:color="auto"/>
                                                                                                <w:right w:val="none" w:sz="0" w:space="0" w:color="auto"/>
                                                                                              </w:divBdr>
                                                                                              <w:divsChild>
                                                                                                <w:div w:id="1725107119">
                                                                                                  <w:marLeft w:val="0"/>
                                                                                                  <w:marRight w:val="0"/>
                                                                                                  <w:marTop w:val="15"/>
                                                                                                  <w:marBottom w:val="0"/>
                                                                                                  <w:divBdr>
                                                                                                    <w:top w:val="none" w:sz="0" w:space="0" w:color="auto"/>
                                                                                                    <w:left w:val="none" w:sz="0" w:space="0" w:color="auto"/>
                                                                                                    <w:bottom w:val="single" w:sz="6" w:space="15" w:color="auto"/>
                                                                                                    <w:right w:val="none" w:sz="0" w:space="0" w:color="auto"/>
                                                                                                  </w:divBdr>
                                                                                                  <w:divsChild>
                                                                                                    <w:div w:id="2045397053">
                                                                                                      <w:marLeft w:val="0"/>
                                                                                                      <w:marRight w:val="0"/>
                                                                                                      <w:marTop w:val="180"/>
                                                                                                      <w:marBottom w:val="0"/>
                                                                                                      <w:divBdr>
                                                                                                        <w:top w:val="none" w:sz="0" w:space="0" w:color="auto"/>
                                                                                                        <w:left w:val="none" w:sz="0" w:space="0" w:color="auto"/>
                                                                                                        <w:bottom w:val="none" w:sz="0" w:space="0" w:color="auto"/>
                                                                                                        <w:right w:val="none" w:sz="0" w:space="0" w:color="auto"/>
                                                                                                      </w:divBdr>
                                                                                                      <w:divsChild>
                                                                                                        <w:div w:id="2037079093">
                                                                                                          <w:marLeft w:val="0"/>
                                                                                                          <w:marRight w:val="0"/>
                                                                                                          <w:marTop w:val="0"/>
                                                                                                          <w:marBottom w:val="0"/>
                                                                                                          <w:divBdr>
                                                                                                            <w:top w:val="none" w:sz="0" w:space="0" w:color="auto"/>
                                                                                                            <w:left w:val="none" w:sz="0" w:space="0" w:color="auto"/>
                                                                                                            <w:bottom w:val="none" w:sz="0" w:space="0" w:color="auto"/>
                                                                                                            <w:right w:val="none" w:sz="0" w:space="0" w:color="auto"/>
                                                                                                          </w:divBdr>
                                                                                                          <w:divsChild>
                                                                                                            <w:div w:id="1368486309">
                                                                                                              <w:marLeft w:val="0"/>
                                                                                                              <w:marRight w:val="0"/>
                                                                                                              <w:marTop w:val="30"/>
                                                                                                              <w:marBottom w:val="0"/>
                                                                                                              <w:divBdr>
                                                                                                                <w:top w:val="none" w:sz="0" w:space="0" w:color="auto"/>
                                                                                                                <w:left w:val="none" w:sz="0" w:space="0" w:color="auto"/>
                                                                                                                <w:bottom w:val="none" w:sz="0" w:space="0" w:color="auto"/>
                                                                                                                <w:right w:val="none" w:sz="0" w:space="0" w:color="auto"/>
                                                                                                              </w:divBdr>
                                                                                                              <w:divsChild>
                                                                                                                <w:div w:id="664942918">
                                                                                                                  <w:marLeft w:val="0"/>
                                                                                                                  <w:marRight w:val="0"/>
                                                                                                                  <w:marTop w:val="0"/>
                                                                                                                  <w:marBottom w:val="0"/>
                                                                                                                  <w:divBdr>
                                                                                                                    <w:top w:val="none" w:sz="0" w:space="0" w:color="auto"/>
                                                                                                                    <w:left w:val="single" w:sz="12" w:space="9" w:color="auto"/>
                                                                                                                    <w:bottom w:val="none" w:sz="0" w:space="0" w:color="auto"/>
                                                                                                                    <w:right w:val="none" w:sz="0" w:space="0" w:color="auto"/>
                                                                                                                  </w:divBdr>
                                                                                                                  <w:divsChild>
                                                                                                                    <w:div w:id="534198417">
                                                                                                                      <w:marLeft w:val="0"/>
                                                                                                                      <w:marRight w:val="0"/>
                                                                                                                      <w:marTop w:val="0"/>
                                                                                                                      <w:marBottom w:val="0"/>
                                                                                                                      <w:divBdr>
                                                                                                                        <w:top w:val="none" w:sz="0" w:space="0" w:color="auto"/>
                                                                                                                        <w:left w:val="none" w:sz="0" w:space="0" w:color="auto"/>
                                                                                                                        <w:bottom w:val="none" w:sz="0" w:space="0" w:color="auto"/>
                                                                                                                        <w:right w:val="none" w:sz="0" w:space="0" w:color="auto"/>
                                                                                                                      </w:divBdr>
                                                                                                                      <w:divsChild>
                                                                                                                        <w:div w:id="14234668">
                                                                                                                          <w:marLeft w:val="0"/>
                                                                                                                          <w:marRight w:val="0"/>
                                                                                                                          <w:marTop w:val="0"/>
                                                                                                                          <w:marBottom w:val="0"/>
                                                                                                                          <w:divBdr>
                                                                                                                            <w:top w:val="none" w:sz="0" w:space="0" w:color="auto"/>
                                                                                                                            <w:left w:val="none" w:sz="0" w:space="0" w:color="auto"/>
                                                                                                                            <w:bottom w:val="none" w:sz="0" w:space="0" w:color="auto"/>
                                                                                                                            <w:right w:val="none" w:sz="0" w:space="0" w:color="auto"/>
                                                                                                                          </w:divBdr>
                                                                                                                          <w:divsChild>
                                                                                                                            <w:div w:id="380599365">
                                                                                                                              <w:marLeft w:val="600"/>
                                                                                                                              <w:marRight w:val="600"/>
                                                                                                                              <w:marTop w:val="280"/>
                                                                                                                              <w:marBottom w:val="280"/>
                                                                                                                              <w:divBdr>
                                                                                                                                <w:top w:val="none" w:sz="0" w:space="0" w:color="auto"/>
                                                                                                                                <w:left w:val="none" w:sz="0" w:space="0" w:color="auto"/>
                                                                                                                                <w:bottom w:val="none" w:sz="0" w:space="0" w:color="auto"/>
                                                                                                                                <w:right w:val="none" w:sz="0" w:space="0" w:color="auto"/>
                                                                                                                              </w:divBdr>
                                                                                                                              <w:divsChild>
                                                                                                                                <w:div w:id="1614626237">
                                                                                                                                  <w:marLeft w:val="0"/>
                                                                                                                                  <w:marRight w:val="0"/>
                                                                                                                                  <w:marTop w:val="0"/>
                                                                                                                                  <w:marBottom w:val="0"/>
                                                                                                                                  <w:divBdr>
                                                                                                                                    <w:top w:val="none" w:sz="0" w:space="0" w:color="auto"/>
                                                                                                                                    <w:left w:val="none" w:sz="0" w:space="0" w:color="auto"/>
                                                                                                                                    <w:bottom w:val="none" w:sz="0" w:space="0" w:color="auto"/>
                                                                                                                                    <w:right w:val="none" w:sz="0" w:space="0" w:color="auto"/>
                                                                                                                                  </w:divBdr>
                                                                                                                                  <w:divsChild>
                                                                                                                                    <w:div w:id="2115051628">
                                                                                                                                      <w:marLeft w:val="0"/>
                                                                                                                                      <w:marRight w:val="0"/>
                                                                                                                                      <w:marTop w:val="0"/>
                                                                                                                                      <w:marBottom w:val="0"/>
                                                                                                                                      <w:divBdr>
                                                                                                                                        <w:top w:val="none" w:sz="0" w:space="0" w:color="auto"/>
                                                                                                                                        <w:left w:val="none" w:sz="0" w:space="0" w:color="auto"/>
                                                                                                                                        <w:bottom w:val="none" w:sz="0" w:space="0" w:color="auto"/>
                                                                                                                                        <w:right w:val="none" w:sz="0" w:space="0" w:color="auto"/>
                                                                                                                                      </w:divBdr>
                                                                                                                                      <w:divsChild>
                                                                                                                                        <w:div w:id="1476141805">
                                                                                                                                          <w:marLeft w:val="0"/>
                                                                                                                                          <w:marRight w:val="0"/>
                                                                                                                                          <w:marTop w:val="0"/>
                                                                                                                                          <w:marBottom w:val="0"/>
                                                                                                                                          <w:divBdr>
                                                                                                                                            <w:top w:val="none" w:sz="0" w:space="0" w:color="auto"/>
                                                                                                                                            <w:left w:val="none" w:sz="0" w:space="0" w:color="auto"/>
                                                                                                                                            <w:bottom w:val="none" w:sz="0" w:space="0" w:color="auto"/>
                                                                                                                                            <w:right w:val="none" w:sz="0" w:space="0" w:color="auto"/>
                                                                                                                                          </w:divBdr>
                                                                                                                                        </w:div>
                                                                                                                                        <w:div w:id="1887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172008">
      <w:bodyDiv w:val="1"/>
      <w:marLeft w:val="0"/>
      <w:marRight w:val="0"/>
      <w:marTop w:val="0"/>
      <w:marBottom w:val="0"/>
      <w:divBdr>
        <w:top w:val="none" w:sz="0" w:space="0" w:color="auto"/>
        <w:left w:val="none" w:sz="0" w:space="0" w:color="auto"/>
        <w:bottom w:val="none" w:sz="0" w:space="0" w:color="auto"/>
        <w:right w:val="none" w:sz="0" w:space="0" w:color="auto"/>
      </w:divBdr>
    </w:div>
    <w:div w:id="1177884235">
      <w:bodyDiv w:val="1"/>
      <w:marLeft w:val="0"/>
      <w:marRight w:val="0"/>
      <w:marTop w:val="0"/>
      <w:marBottom w:val="0"/>
      <w:divBdr>
        <w:top w:val="none" w:sz="0" w:space="0" w:color="auto"/>
        <w:left w:val="none" w:sz="0" w:space="0" w:color="auto"/>
        <w:bottom w:val="none" w:sz="0" w:space="0" w:color="auto"/>
        <w:right w:val="none" w:sz="0" w:space="0" w:color="auto"/>
      </w:divBdr>
    </w:div>
    <w:div w:id="1179466870">
      <w:bodyDiv w:val="1"/>
      <w:marLeft w:val="0"/>
      <w:marRight w:val="0"/>
      <w:marTop w:val="0"/>
      <w:marBottom w:val="0"/>
      <w:divBdr>
        <w:top w:val="none" w:sz="0" w:space="0" w:color="auto"/>
        <w:left w:val="none" w:sz="0" w:space="0" w:color="auto"/>
        <w:bottom w:val="none" w:sz="0" w:space="0" w:color="auto"/>
        <w:right w:val="none" w:sz="0" w:space="0" w:color="auto"/>
      </w:divBdr>
    </w:div>
    <w:div w:id="1185167098">
      <w:bodyDiv w:val="1"/>
      <w:marLeft w:val="0"/>
      <w:marRight w:val="0"/>
      <w:marTop w:val="0"/>
      <w:marBottom w:val="0"/>
      <w:divBdr>
        <w:top w:val="none" w:sz="0" w:space="0" w:color="auto"/>
        <w:left w:val="none" w:sz="0" w:space="0" w:color="auto"/>
        <w:bottom w:val="none" w:sz="0" w:space="0" w:color="auto"/>
        <w:right w:val="none" w:sz="0" w:space="0" w:color="auto"/>
      </w:divBdr>
    </w:div>
    <w:div w:id="1198664986">
      <w:bodyDiv w:val="1"/>
      <w:marLeft w:val="0"/>
      <w:marRight w:val="0"/>
      <w:marTop w:val="0"/>
      <w:marBottom w:val="0"/>
      <w:divBdr>
        <w:top w:val="none" w:sz="0" w:space="0" w:color="auto"/>
        <w:left w:val="none" w:sz="0" w:space="0" w:color="auto"/>
        <w:bottom w:val="none" w:sz="0" w:space="0" w:color="auto"/>
        <w:right w:val="none" w:sz="0" w:space="0" w:color="auto"/>
      </w:divBdr>
    </w:div>
    <w:div w:id="1202209887">
      <w:bodyDiv w:val="1"/>
      <w:marLeft w:val="0"/>
      <w:marRight w:val="0"/>
      <w:marTop w:val="0"/>
      <w:marBottom w:val="0"/>
      <w:divBdr>
        <w:top w:val="none" w:sz="0" w:space="0" w:color="auto"/>
        <w:left w:val="none" w:sz="0" w:space="0" w:color="auto"/>
        <w:bottom w:val="none" w:sz="0" w:space="0" w:color="auto"/>
        <w:right w:val="none" w:sz="0" w:space="0" w:color="auto"/>
      </w:divBdr>
    </w:div>
    <w:div w:id="1206215623">
      <w:bodyDiv w:val="1"/>
      <w:marLeft w:val="0"/>
      <w:marRight w:val="0"/>
      <w:marTop w:val="0"/>
      <w:marBottom w:val="0"/>
      <w:divBdr>
        <w:top w:val="none" w:sz="0" w:space="0" w:color="auto"/>
        <w:left w:val="none" w:sz="0" w:space="0" w:color="auto"/>
        <w:bottom w:val="none" w:sz="0" w:space="0" w:color="auto"/>
        <w:right w:val="none" w:sz="0" w:space="0" w:color="auto"/>
      </w:divBdr>
    </w:div>
    <w:div w:id="1207181472">
      <w:bodyDiv w:val="1"/>
      <w:marLeft w:val="0"/>
      <w:marRight w:val="0"/>
      <w:marTop w:val="0"/>
      <w:marBottom w:val="0"/>
      <w:divBdr>
        <w:top w:val="none" w:sz="0" w:space="0" w:color="auto"/>
        <w:left w:val="none" w:sz="0" w:space="0" w:color="auto"/>
        <w:bottom w:val="none" w:sz="0" w:space="0" w:color="auto"/>
        <w:right w:val="none" w:sz="0" w:space="0" w:color="auto"/>
      </w:divBdr>
    </w:div>
    <w:div w:id="1215309441">
      <w:bodyDiv w:val="1"/>
      <w:marLeft w:val="0"/>
      <w:marRight w:val="0"/>
      <w:marTop w:val="0"/>
      <w:marBottom w:val="0"/>
      <w:divBdr>
        <w:top w:val="none" w:sz="0" w:space="0" w:color="auto"/>
        <w:left w:val="none" w:sz="0" w:space="0" w:color="auto"/>
        <w:bottom w:val="none" w:sz="0" w:space="0" w:color="auto"/>
        <w:right w:val="none" w:sz="0" w:space="0" w:color="auto"/>
      </w:divBdr>
    </w:div>
    <w:div w:id="1217812302">
      <w:bodyDiv w:val="1"/>
      <w:marLeft w:val="0"/>
      <w:marRight w:val="0"/>
      <w:marTop w:val="0"/>
      <w:marBottom w:val="0"/>
      <w:divBdr>
        <w:top w:val="none" w:sz="0" w:space="0" w:color="auto"/>
        <w:left w:val="none" w:sz="0" w:space="0" w:color="auto"/>
        <w:bottom w:val="none" w:sz="0" w:space="0" w:color="auto"/>
        <w:right w:val="none" w:sz="0" w:space="0" w:color="auto"/>
      </w:divBdr>
    </w:div>
    <w:div w:id="1218737883">
      <w:bodyDiv w:val="1"/>
      <w:marLeft w:val="0"/>
      <w:marRight w:val="0"/>
      <w:marTop w:val="0"/>
      <w:marBottom w:val="0"/>
      <w:divBdr>
        <w:top w:val="none" w:sz="0" w:space="0" w:color="auto"/>
        <w:left w:val="none" w:sz="0" w:space="0" w:color="auto"/>
        <w:bottom w:val="none" w:sz="0" w:space="0" w:color="auto"/>
        <w:right w:val="none" w:sz="0" w:space="0" w:color="auto"/>
      </w:divBdr>
    </w:div>
    <w:div w:id="1222055307">
      <w:bodyDiv w:val="1"/>
      <w:marLeft w:val="0"/>
      <w:marRight w:val="0"/>
      <w:marTop w:val="0"/>
      <w:marBottom w:val="0"/>
      <w:divBdr>
        <w:top w:val="none" w:sz="0" w:space="0" w:color="auto"/>
        <w:left w:val="none" w:sz="0" w:space="0" w:color="auto"/>
        <w:bottom w:val="none" w:sz="0" w:space="0" w:color="auto"/>
        <w:right w:val="none" w:sz="0" w:space="0" w:color="auto"/>
      </w:divBdr>
    </w:div>
    <w:div w:id="1223635912">
      <w:bodyDiv w:val="1"/>
      <w:marLeft w:val="0"/>
      <w:marRight w:val="0"/>
      <w:marTop w:val="0"/>
      <w:marBottom w:val="0"/>
      <w:divBdr>
        <w:top w:val="none" w:sz="0" w:space="0" w:color="auto"/>
        <w:left w:val="none" w:sz="0" w:space="0" w:color="auto"/>
        <w:bottom w:val="none" w:sz="0" w:space="0" w:color="auto"/>
        <w:right w:val="none" w:sz="0" w:space="0" w:color="auto"/>
      </w:divBdr>
    </w:div>
    <w:div w:id="1226646702">
      <w:bodyDiv w:val="1"/>
      <w:marLeft w:val="0"/>
      <w:marRight w:val="0"/>
      <w:marTop w:val="0"/>
      <w:marBottom w:val="0"/>
      <w:divBdr>
        <w:top w:val="none" w:sz="0" w:space="0" w:color="auto"/>
        <w:left w:val="none" w:sz="0" w:space="0" w:color="auto"/>
        <w:bottom w:val="none" w:sz="0" w:space="0" w:color="auto"/>
        <w:right w:val="none" w:sz="0" w:space="0" w:color="auto"/>
      </w:divBdr>
    </w:div>
    <w:div w:id="1229194953">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37204070">
      <w:bodyDiv w:val="1"/>
      <w:marLeft w:val="0"/>
      <w:marRight w:val="0"/>
      <w:marTop w:val="0"/>
      <w:marBottom w:val="0"/>
      <w:divBdr>
        <w:top w:val="none" w:sz="0" w:space="0" w:color="auto"/>
        <w:left w:val="none" w:sz="0" w:space="0" w:color="auto"/>
        <w:bottom w:val="none" w:sz="0" w:space="0" w:color="auto"/>
        <w:right w:val="none" w:sz="0" w:space="0" w:color="auto"/>
      </w:divBdr>
    </w:div>
    <w:div w:id="1240024179">
      <w:bodyDiv w:val="1"/>
      <w:marLeft w:val="0"/>
      <w:marRight w:val="0"/>
      <w:marTop w:val="0"/>
      <w:marBottom w:val="0"/>
      <w:divBdr>
        <w:top w:val="none" w:sz="0" w:space="0" w:color="auto"/>
        <w:left w:val="none" w:sz="0" w:space="0" w:color="auto"/>
        <w:bottom w:val="none" w:sz="0" w:space="0" w:color="auto"/>
        <w:right w:val="none" w:sz="0" w:space="0" w:color="auto"/>
      </w:divBdr>
    </w:div>
    <w:div w:id="1242370829">
      <w:bodyDiv w:val="1"/>
      <w:marLeft w:val="0"/>
      <w:marRight w:val="0"/>
      <w:marTop w:val="0"/>
      <w:marBottom w:val="0"/>
      <w:divBdr>
        <w:top w:val="none" w:sz="0" w:space="0" w:color="auto"/>
        <w:left w:val="none" w:sz="0" w:space="0" w:color="auto"/>
        <w:bottom w:val="none" w:sz="0" w:space="0" w:color="auto"/>
        <w:right w:val="none" w:sz="0" w:space="0" w:color="auto"/>
      </w:divBdr>
    </w:div>
    <w:div w:id="1248078336">
      <w:bodyDiv w:val="1"/>
      <w:marLeft w:val="0"/>
      <w:marRight w:val="0"/>
      <w:marTop w:val="0"/>
      <w:marBottom w:val="0"/>
      <w:divBdr>
        <w:top w:val="none" w:sz="0" w:space="0" w:color="auto"/>
        <w:left w:val="none" w:sz="0" w:space="0" w:color="auto"/>
        <w:bottom w:val="none" w:sz="0" w:space="0" w:color="auto"/>
        <w:right w:val="none" w:sz="0" w:space="0" w:color="auto"/>
      </w:divBdr>
    </w:div>
    <w:div w:id="1251039484">
      <w:bodyDiv w:val="1"/>
      <w:marLeft w:val="0"/>
      <w:marRight w:val="0"/>
      <w:marTop w:val="0"/>
      <w:marBottom w:val="0"/>
      <w:divBdr>
        <w:top w:val="none" w:sz="0" w:space="0" w:color="auto"/>
        <w:left w:val="none" w:sz="0" w:space="0" w:color="auto"/>
        <w:bottom w:val="none" w:sz="0" w:space="0" w:color="auto"/>
        <w:right w:val="none" w:sz="0" w:space="0" w:color="auto"/>
      </w:divBdr>
    </w:div>
    <w:div w:id="1263565485">
      <w:bodyDiv w:val="1"/>
      <w:marLeft w:val="0"/>
      <w:marRight w:val="0"/>
      <w:marTop w:val="0"/>
      <w:marBottom w:val="0"/>
      <w:divBdr>
        <w:top w:val="none" w:sz="0" w:space="0" w:color="auto"/>
        <w:left w:val="none" w:sz="0" w:space="0" w:color="auto"/>
        <w:bottom w:val="none" w:sz="0" w:space="0" w:color="auto"/>
        <w:right w:val="none" w:sz="0" w:space="0" w:color="auto"/>
      </w:divBdr>
    </w:div>
    <w:div w:id="1263760291">
      <w:bodyDiv w:val="1"/>
      <w:marLeft w:val="0"/>
      <w:marRight w:val="0"/>
      <w:marTop w:val="0"/>
      <w:marBottom w:val="0"/>
      <w:divBdr>
        <w:top w:val="none" w:sz="0" w:space="0" w:color="auto"/>
        <w:left w:val="none" w:sz="0" w:space="0" w:color="auto"/>
        <w:bottom w:val="none" w:sz="0" w:space="0" w:color="auto"/>
        <w:right w:val="none" w:sz="0" w:space="0" w:color="auto"/>
      </w:divBdr>
    </w:div>
    <w:div w:id="1273242808">
      <w:bodyDiv w:val="1"/>
      <w:marLeft w:val="0"/>
      <w:marRight w:val="0"/>
      <w:marTop w:val="0"/>
      <w:marBottom w:val="0"/>
      <w:divBdr>
        <w:top w:val="none" w:sz="0" w:space="0" w:color="auto"/>
        <w:left w:val="none" w:sz="0" w:space="0" w:color="auto"/>
        <w:bottom w:val="none" w:sz="0" w:space="0" w:color="auto"/>
        <w:right w:val="none" w:sz="0" w:space="0" w:color="auto"/>
      </w:divBdr>
    </w:div>
    <w:div w:id="1273367824">
      <w:bodyDiv w:val="1"/>
      <w:marLeft w:val="0"/>
      <w:marRight w:val="0"/>
      <w:marTop w:val="0"/>
      <w:marBottom w:val="0"/>
      <w:divBdr>
        <w:top w:val="none" w:sz="0" w:space="0" w:color="auto"/>
        <w:left w:val="none" w:sz="0" w:space="0" w:color="auto"/>
        <w:bottom w:val="none" w:sz="0" w:space="0" w:color="auto"/>
        <w:right w:val="none" w:sz="0" w:space="0" w:color="auto"/>
      </w:divBdr>
    </w:div>
    <w:div w:id="1274439245">
      <w:bodyDiv w:val="1"/>
      <w:marLeft w:val="0"/>
      <w:marRight w:val="0"/>
      <w:marTop w:val="0"/>
      <w:marBottom w:val="0"/>
      <w:divBdr>
        <w:top w:val="none" w:sz="0" w:space="0" w:color="auto"/>
        <w:left w:val="none" w:sz="0" w:space="0" w:color="auto"/>
        <w:bottom w:val="none" w:sz="0" w:space="0" w:color="auto"/>
        <w:right w:val="none" w:sz="0" w:space="0" w:color="auto"/>
      </w:divBdr>
    </w:div>
    <w:div w:id="1277373983">
      <w:bodyDiv w:val="1"/>
      <w:marLeft w:val="0"/>
      <w:marRight w:val="0"/>
      <w:marTop w:val="0"/>
      <w:marBottom w:val="0"/>
      <w:divBdr>
        <w:top w:val="none" w:sz="0" w:space="0" w:color="auto"/>
        <w:left w:val="none" w:sz="0" w:space="0" w:color="auto"/>
        <w:bottom w:val="none" w:sz="0" w:space="0" w:color="auto"/>
        <w:right w:val="none" w:sz="0" w:space="0" w:color="auto"/>
      </w:divBdr>
      <w:divsChild>
        <w:div w:id="1997413607">
          <w:marLeft w:val="0"/>
          <w:marRight w:val="0"/>
          <w:marTop w:val="0"/>
          <w:marBottom w:val="0"/>
          <w:divBdr>
            <w:top w:val="none" w:sz="0" w:space="0" w:color="auto"/>
            <w:left w:val="none" w:sz="0" w:space="0" w:color="auto"/>
            <w:bottom w:val="none" w:sz="0" w:space="0" w:color="auto"/>
            <w:right w:val="none" w:sz="0" w:space="0" w:color="auto"/>
          </w:divBdr>
          <w:divsChild>
            <w:div w:id="1074934620">
              <w:marLeft w:val="0"/>
              <w:marRight w:val="0"/>
              <w:marTop w:val="0"/>
              <w:marBottom w:val="0"/>
              <w:divBdr>
                <w:top w:val="none" w:sz="0" w:space="0" w:color="auto"/>
                <w:left w:val="none" w:sz="0" w:space="0" w:color="auto"/>
                <w:bottom w:val="none" w:sz="0" w:space="0" w:color="auto"/>
                <w:right w:val="none" w:sz="0" w:space="0" w:color="auto"/>
              </w:divBdr>
              <w:divsChild>
                <w:div w:id="92482598">
                  <w:marLeft w:val="0"/>
                  <w:marRight w:val="0"/>
                  <w:marTop w:val="0"/>
                  <w:marBottom w:val="0"/>
                  <w:divBdr>
                    <w:top w:val="none" w:sz="0" w:space="0" w:color="auto"/>
                    <w:left w:val="none" w:sz="0" w:space="0" w:color="auto"/>
                    <w:bottom w:val="none" w:sz="0" w:space="0" w:color="auto"/>
                    <w:right w:val="none" w:sz="0" w:space="0" w:color="auto"/>
                  </w:divBdr>
                  <w:divsChild>
                    <w:div w:id="536352479">
                      <w:marLeft w:val="0"/>
                      <w:marRight w:val="0"/>
                      <w:marTop w:val="0"/>
                      <w:marBottom w:val="0"/>
                      <w:divBdr>
                        <w:top w:val="none" w:sz="0" w:space="0" w:color="auto"/>
                        <w:left w:val="none" w:sz="0" w:space="0" w:color="auto"/>
                        <w:bottom w:val="none" w:sz="0" w:space="0" w:color="auto"/>
                        <w:right w:val="none" w:sz="0" w:space="0" w:color="auto"/>
                      </w:divBdr>
                      <w:divsChild>
                        <w:div w:id="1561407749">
                          <w:marLeft w:val="405"/>
                          <w:marRight w:val="0"/>
                          <w:marTop w:val="0"/>
                          <w:marBottom w:val="0"/>
                          <w:divBdr>
                            <w:top w:val="none" w:sz="0" w:space="0" w:color="auto"/>
                            <w:left w:val="none" w:sz="0" w:space="0" w:color="auto"/>
                            <w:bottom w:val="none" w:sz="0" w:space="0" w:color="auto"/>
                            <w:right w:val="none" w:sz="0" w:space="0" w:color="auto"/>
                          </w:divBdr>
                          <w:divsChild>
                            <w:div w:id="2135324649">
                              <w:marLeft w:val="0"/>
                              <w:marRight w:val="0"/>
                              <w:marTop w:val="0"/>
                              <w:marBottom w:val="0"/>
                              <w:divBdr>
                                <w:top w:val="none" w:sz="0" w:space="0" w:color="auto"/>
                                <w:left w:val="none" w:sz="0" w:space="0" w:color="auto"/>
                                <w:bottom w:val="none" w:sz="0" w:space="0" w:color="auto"/>
                                <w:right w:val="none" w:sz="0" w:space="0" w:color="auto"/>
                              </w:divBdr>
                              <w:divsChild>
                                <w:div w:id="825977019">
                                  <w:marLeft w:val="0"/>
                                  <w:marRight w:val="0"/>
                                  <w:marTop w:val="0"/>
                                  <w:marBottom w:val="0"/>
                                  <w:divBdr>
                                    <w:top w:val="none" w:sz="0" w:space="0" w:color="auto"/>
                                    <w:left w:val="none" w:sz="0" w:space="0" w:color="auto"/>
                                    <w:bottom w:val="none" w:sz="0" w:space="0" w:color="auto"/>
                                    <w:right w:val="none" w:sz="0" w:space="0" w:color="auto"/>
                                  </w:divBdr>
                                  <w:divsChild>
                                    <w:div w:id="1490172827">
                                      <w:marLeft w:val="0"/>
                                      <w:marRight w:val="0"/>
                                      <w:marTop w:val="60"/>
                                      <w:marBottom w:val="0"/>
                                      <w:divBdr>
                                        <w:top w:val="none" w:sz="0" w:space="0" w:color="auto"/>
                                        <w:left w:val="none" w:sz="0" w:space="0" w:color="auto"/>
                                        <w:bottom w:val="none" w:sz="0" w:space="0" w:color="auto"/>
                                        <w:right w:val="none" w:sz="0" w:space="0" w:color="auto"/>
                                      </w:divBdr>
                                      <w:divsChild>
                                        <w:div w:id="598417272">
                                          <w:marLeft w:val="0"/>
                                          <w:marRight w:val="0"/>
                                          <w:marTop w:val="0"/>
                                          <w:marBottom w:val="0"/>
                                          <w:divBdr>
                                            <w:top w:val="none" w:sz="0" w:space="0" w:color="auto"/>
                                            <w:left w:val="none" w:sz="0" w:space="0" w:color="auto"/>
                                            <w:bottom w:val="none" w:sz="0" w:space="0" w:color="auto"/>
                                            <w:right w:val="none" w:sz="0" w:space="0" w:color="auto"/>
                                          </w:divBdr>
                                          <w:divsChild>
                                            <w:div w:id="2039578027">
                                              <w:marLeft w:val="0"/>
                                              <w:marRight w:val="0"/>
                                              <w:marTop w:val="0"/>
                                              <w:marBottom w:val="0"/>
                                              <w:divBdr>
                                                <w:top w:val="none" w:sz="0" w:space="0" w:color="auto"/>
                                                <w:left w:val="none" w:sz="0" w:space="0" w:color="auto"/>
                                                <w:bottom w:val="none" w:sz="0" w:space="0" w:color="auto"/>
                                                <w:right w:val="none" w:sz="0" w:space="0" w:color="auto"/>
                                              </w:divBdr>
                                              <w:divsChild>
                                                <w:div w:id="741873699">
                                                  <w:marLeft w:val="0"/>
                                                  <w:marRight w:val="0"/>
                                                  <w:marTop w:val="0"/>
                                                  <w:marBottom w:val="0"/>
                                                  <w:divBdr>
                                                    <w:top w:val="none" w:sz="0" w:space="0" w:color="auto"/>
                                                    <w:left w:val="none" w:sz="0" w:space="0" w:color="auto"/>
                                                    <w:bottom w:val="none" w:sz="0" w:space="0" w:color="auto"/>
                                                    <w:right w:val="none" w:sz="0" w:space="0" w:color="auto"/>
                                                  </w:divBdr>
                                                  <w:divsChild>
                                                    <w:div w:id="825970424">
                                                      <w:marLeft w:val="0"/>
                                                      <w:marRight w:val="0"/>
                                                      <w:marTop w:val="0"/>
                                                      <w:marBottom w:val="0"/>
                                                      <w:divBdr>
                                                        <w:top w:val="none" w:sz="0" w:space="0" w:color="auto"/>
                                                        <w:left w:val="none" w:sz="0" w:space="0" w:color="auto"/>
                                                        <w:bottom w:val="none" w:sz="0" w:space="0" w:color="auto"/>
                                                        <w:right w:val="none" w:sz="0" w:space="0" w:color="auto"/>
                                                      </w:divBdr>
                                                      <w:divsChild>
                                                        <w:div w:id="582180024">
                                                          <w:marLeft w:val="0"/>
                                                          <w:marRight w:val="0"/>
                                                          <w:marTop w:val="0"/>
                                                          <w:marBottom w:val="0"/>
                                                          <w:divBdr>
                                                            <w:top w:val="none" w:sz="0" w:space="0" w:color="auto"/>
                                                            <w:left w:val="none" w:sz="0" w:space="0" w:color="auto"/>
                                                            <w:bottom w:val="none" w:sz="0" w:space="0" w:color="auto"/>
                                                            <w:right w:val="none" w:sz="0" w:space="0" w:color="auto"/>
                                                          </w:divBdr>
                                                          <w:divsChild>
                                                            <w:div w:id="398553243">
                                                              <w:marLeft w:val="0"/>
                                                              <w:marRight w:val="0"/>
                                                              <w:marTop w:val="0"/>
                                                              <w:marBottom w:val="0"/>
                                                              <w:divBdr>
                                                                <w:top w:val="none" w:sz="0" w:space="0" w:color="auto"/>
                                                                <w:left w:val="none" w:sz="0" w:space="0" w:color="auto"/>
                                                                <w:bottom w:val="none" w:sz="0" w:space="0" w:color="auto"/>
                                                                <w:right w:val="none" w:sz="0" w:space="0" w:color="auto"/>
                                                              </w:divBdr>
                                                              <w:divsChild>
                                                                <w:div w:id="1926528860">
                                                                  <w:marLeft w:val="0"/>
                                                                  <w:marRight w:val="0"/>
                                                                  <w:marTop w:val="0"/>
                                                                  <w:marBottom w:val="0"/>
                                                                  <w:divBdr>
                                                                    <w:top w:val="none" w:sz="0" w:space="0" w:color="auto"/>
                                                                    <w:left w:val="none" w:sz="0" w:space="0" w:color="auto"/>
                                                                    <w:bottom w:val="none" w:sz="0" w:space="0" w:color="auto"/>
                                                                    <w:right w:val="none" w:sz="0" w:space="0" w:color="auto"/>
                                                                  </w:divBdr>
                                                                  <w:divsChild>
                                                                    <w:div w:id="17169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7565819">
      <w:bodyDiv w:val="1"/>
      <w:marLeft w:val="0"/>
      <w:marRight w:val="0"/>
      <w:marTop w:val="0"/>
      <w:marBottom w:val="0"/>
      <w:divBdr>
        <w:top w:val="none" w:sz="0" w:space="0" w:color="auto"/>
        <w:left w:val="none" w:sz="0" w:space="0" w:color="auto"/>
        <w:bottom w:val="none" w:sz="0" w:space="0" w:color="auto"/>
        <w:right w:val="none" w:sz="0" w:space="0" w:color="auto"/>
      </w:divBdr>
    </w:div>
    <w:div w:id="1282108545">
      <w:bodyDiv w:val="1"/>
      <w:marLeft w:val="0"/>
      <w:marRight w:val="0"/>
      <w:marTop w:val="0"/>
      <w:marBottom w:val="0"/>
      <w:divBdr>
        <w:top w:val="none" w:sz="0" w:space="0" w:color="auto"/>
        <w:left w:val="none" w:sz="0" w:space="0" w:color="auto"/>
        <w:bottom w:val="none" w:sz="0" w:space="0" w:color="auto"/>
        <w:right w:val="none" w:sz="0" w:space="0" w:color="auto"/>
      </w:divBdr>
    </w:div>
    <w:div w:id="1289120756">
      <w:bodyDiv w:val="1"/>
      <w:marLeft w:val="0"/>
      <w:marRight w:val="0"/>
      <w:marTop w:val="0"/>
      <w:marBottom w:val="0"/>
      <w:divBdr>
        <w:top w:val="none" w:sz="0" w:space="0" w:color="auto"/>
        <w:left w:val="none" w:sz="0" w:space="0" w:color="auto"/>
        <w:bottom w:val="none" w:sz="0" w:space="0" w:color="auto"/>
        <w:right w:val="none" w:sz="0" w:space="0" w:color="auto"/>
      </w:divBdr>
    </w:div>
    <w:div w:id="1298293861">
      <w:bodyDiv w:val="1"/>
      <w:marLeft w:val="0"/>
      <w:marRight w:val="0"/>
      <w:marTop w:val="0"/>
      <w:marBottom w:val="0"/>
      <w:divBdr>
        <w:top w:val="none" w:sz="0" w:space="0" w:color="auto"/>
        <w:left w:val="none" w:sz="0" w:space="0" w:color="auto"/>
        <w:bottom w:val="none" w:sz="0" w:space="0" w:color="auto"/>
        <w:right w:val="none" w:sz="0" w:space="0" w:color="auto"/>
      </w:divBdr>
    </w:div>
    <w:div w:id="1302810323">
      <w:bodyDiv w:val="1"/>
      <w:marLeft w:val="0"/>
      <w:marRight w:val="0"/>
      <w:marTop w:val="0"/>
      <w:marBottom w:val="0"/>
      <w:divBdr>
        <w:top w:val="none" w:sz="0" w:space="0" w:color="auto"/>
        <w:left w:val="none" w:sz="0" w:space="0" w:color="auto"/>
        <w:bottom w:val="none" w:sz="0" w:space="0" w:color="auto"/>
        <w:right w:val="none" w:sz="0" w:space="0" w:color="auto"/>
      </w:divBdr>
    </w:div>
    <w:div w:id="1302882291">
      <w:bodyDiv w:val="1"/>
      <w:marLeft w:val="0"/>
      <w:marRight w:val="0"/>
      <w:marTop w:val="0"/>
      <w:marBottom w:val="0"/>
      <w:divBdr>
        <w:top w:val="none" w:sz="0" w:space="0" w:color="auto"/>
        <w:left w:val="none" w:sz="0" w:space="0" w:color="auto"/>
        <w:bottom w:val="none" w:sz="0" w:space="0" w:color="auto"/>
        <w:right w:val="none" w:sz="0" w:space="0" w:color="auto"/>
      </w:divBdr>
    </w:div>
    <w:div w:id="1305696362">
      <w:bodyDiv w:val="1"/>
      <w:marLeft w:val="0"/>
      <w:marRight w:val="0"/>
      <w:marTop w:val="0"/>
      <w:marBottom w:val="0"/>
      <w:divBdr>
        <w:top w:val="none" w:sz="0" w:space="0" w:color="auto"/>
        <w:left w:val="none" w:sz="0" w:space="0" w:color="auto"/>
        <w:bottom w:val="none" w:sz="0" w:space="0" w:color="auto"/>
        <w:right w:val="none" w:sz="0" w:space="0" w:color="auto"/>
      </w:divBdr>
    </w:div>
    <w:div w:id="1320966698">
      <w:bodyDiv w:val="1"/>
      <w:marLeft w:val="0"/>
      <w:marRight w:val="0"/>
      <w:marTop w:val="0"/>
      <w:marBottom w:val="0"/>
      <w:divBdr>
        <w:top w:val="none" w:sz="0" w:space="0" w:color="auto"/>
        <w:left w:val="none" w:sz="0" w:space="0" w:color="auto"/>
        <w:bottom w:val="none" w:sz="0" w:space="0" w:color="auto"/>
        <w:right w:val="none" w:sz="0" w:space="0" w:color="auto"/>
      </w:divBdr>
    </w:div>
    <w:div w:id="1327057581">
      <w:bodyDiv w:val="1"/>
      <w:marLeft w:val="0"/>
      <w:marRight w:val="0"/>
      <w:marTop w:val="0"/>
      <w:marBottom w:val="0"/>
      <w:divBdr>
        <w:top w:val="none" w:sz="0" w:space="0" w:color="auto"/>
        <w:left w:val="none" w:sz="0" w:space="0" w:color="auto"/>
        <w:bottom w:val="none" w:sz="0" w:space="0" w:color="auto"/>
        <w:right w:val="none" w:sz="0" w:space="0" w:color="auto"/>
      </w:divBdr>
    </w:div>
    <w:div w:id="1332487423">
      <w:bodyDiv w:val="1"/>
      <w:marLeft w:val="0"/>
      <w:marRight w:val="0"/>
      <w:marTop w:val="0"/>
      <w:marBottom w:val="0"/>
      <w:divBdr>
        <w:top w:val="none" w:sz="0" w:space="0" w:color="auto"/>
        <w:left w:val="none" w:sz="0" w:space="0" w:color="auto"/>
        <w:bottom w:val="none" w:sz="0" w:space="0" w:color="auto"/>
        <w:right w:val="none" w:sz="0" w:space="0" w:color="auto"/>
      </w:divBdr>
    </w:div>
    <w:div w:id="1335186723">
      <w:bodyDiv w:val="1"/>
      <w:marLeft w:val="0"/>
      <w:marRight w:val="0"/>
      <w:marTop w:val="0"/>
      <w:marBottom w:val="0"/>
      <w:divBdr>
        <w:top w:val="none" w:sz="0" w:space="0" w:color="auto"/>
        <w:left w:val="none" w:sz="0" w:space="0" w:color="auto"/>
        <w:bottom w:val="none" w:sz="0" w:space="0" w:color="auto"/>
        <w:right w:val="none" w:sz="0" w:space="0" w:color="auto"/>
      </w:divBdr>
    </w:div>
    <w:div w:id="1339576773">
      <w:bodyDiv w:val="1"/>
      <w:marLeft w:val="0"/>
      <w:marRight w:val="0"/>
      <w:marTop w:val="0"/>
      <w:marBottom w:val="0"/>
      <w:divBdr>
        <w:top w:val="none" w:sz="0" w:space="0" w:color="auto"/>
        <w:left w:val="none" w:sz="0" w:space="0" w:color="auto"/>
        <w:bottom w:val="none" w:sz="0" w:space="0" w:color="auto"/>
        <w:right w:val="none" w:sz="0" w:space="0" w:color="auto"/>
      </w:divBdr>
    </w:div>
    <w:div w:id="1341083710">
      <w:bodyDiv w:val="1"/>
      <w:marLeft w:val="0"/>
      <w:marRight w:val="0"/>
      <w:marTop w:val="0"/>
      <w:marBottom w:val="0"/>
      <w:divBdr>
        <w:top w:val="none" w:sz="0" w:space="0" w:color="auto"/>
        <w:left w:val="none" w:sz="0" w:space="0" w:color="auto"/>
        <w:bottom w:val="none" w:sz="0" w:space="0" w:color="auto"/>
        <w:right w:val="none" w:sz="0" w:space="0" w:color="auto"/>
      </w:divBdr>
    </w:div>
    <w:div w:id="1344549081">
      <w:bodyDiv w:val="1"/>
      <w:marLeft w:val="0"/>
      <w:marRight w:val="0"/>
      <w:marTop w:val="0"/>
      <w:marBottom w:val="0"/>
      <w:divBdr>
        <w:top w:val="none" w:sz="0" w:space="0" w:color="auto"/>
        <w:left w:val="none" w:sz="0" w:space="0" w:color="auto"/>
        <w:bottom w:val="none" w:sz="0" w:space="0" w:color="auto"/>
        <w:right w:val="none" w:sz="0" w:space="0" w:color="auto"/>
      </w:divBdr>
    </w:div>
    <w:div w:id="1352487478">
      <w:bodyDiv w:val="1"/>
      <w:marLeft w:val="0"/>
      <w:marRight w:val="0"/>
      <w:marTop w:val="0"/>
      <w:marBottom w:val="0"/>
      <w:divBdr>
        <w:top w:val="none" w:sz="0" w:space="0" w:color="auto"/>
        <w:left w:val="none" w:sz="0" w:space="0" w:color="auto"/>
        <w:bottom w:val="none" w:sz="0" w:space="0" w:color="auto"/>
        <w:right w:val="none" w:sz="0" w:space="0" w:color="auto"/>
      </w:divBdr>
    </w:div>
    <w:div w:id="1354570933">
      <w:bodyDiv w:val="1"/>
      <w:marLeft w:val="0"/>
      <w:marRight w:val="0"/>
      <w:marTop w:val="0"/>
      <w:marBottom w:val="0"/>
      <w:divBdr>
        <w:top w:val="none" w:sz="0" w:space="0" w:color="auto"/>
        <w:left w:val="none" w:sz="0" w:space="0" w:color="auto"/>
        <w:bottom w:val="none" w:sz="0" w:space="0" w:color="auto"/>
        <w:right w:val="none" w:sz="0" w:space="0" w:color="auto"/>
      </w:divBdr>
    </w:div>
    <w:div w:id="1360205071">
      <w:bodyDiv w:val="1"/>
      <w:marLeft w:val="0"/>
      <w:marRight w:val="0"/>
      <w:marTop w:val="0"/>
      <w:marBottom w:val="0"/>
      <w:divBdr>
        <w:top w:val="none" w:sz="0" w:space="0" w:color="auto"/>
        <w:left w:val="none" w:sz="0" w:space="0" w:color="auto"/>
        <w:bottom w:val="none" w:sz="0" w:space="0" w:color="auto"/>
        <w:right w:val="none" w:sz="0" w:space="0" w:color="auto"/>
      </w:divBdr>
    </w:div>
    <w:div w:id="1364132314">
      <w:bodyDiv w:val="1"/>
      <w:marLeft w:val="0"/>
      <w:marRight w:val="0"/>
      <w:marTop w:val="0"/>
      <w:marBottom w:val="0"/>
      <w:divBdr>
        <w:top w:val="none" w:sz="0" w:space="0" w:color="auto"/>
        <w:left w:val="none" w:sz="0" w:space="0" w:color="auto"/>
        <w:bottom w:val="none" w:sz="0" w:space="0" w:color="auto"/>
        <w:right w:val="none" w:sz="0" w:space="0" w:color="auto"/>
      </w:divBdr>
    </w:div>
    <w:div w:id="1374161451">
      <w:bodyDiv w:val="1"/>
      <w:marLeft w:val="0"/>
      <w:marRight w:val="0"/>
      <w:marTop w:val="0"/>
      <w:marBottom w:val="0"/>
      <w:divBdr>
        <w:top w:val="none" w:sz="0" w:space="0" w:color="auto"/>
        <w:left w:val="none" w:sz="0" w:space="0" w:color="auto"/>
        <w:bottom w:val="none" w:sz="0" w:space="0" w:color="auto"/>
        <w:right w:val="none" w:sz="0" w:space="0" w:color="auto"/>
      </w:divBdr>
      <w:divsChild>
        <w:div w:id="1370450049">
          <w:marLeft w:val="0"/>
          <w:marRight w:val="0"/>
          <w:marTop w:val="0"/>
          <w:marBottom w:val="0"/>
          <w:divBdr>
            <w:top w:val="none" w:sz="0" w:space="0" w:color="auto"/>
            <w:left w:val="none" w:sz="0" w:space="0" w:color="auto"/>
            <w:bottom w:val="none" w:sz="0" w:space="0" w:color="auto"/>
            <w:right w:val="none" w:sz="0" w:space="0" w:color="auto"/>
          </w:divBdr>
          <w:divsChild>
            <w:div w:id="1293747669">
              <w:marLeft w:val="0"/>
              <w:marRight w:val="0"/>
              <w:marTop w:val="0"/>
              <w:marBottom w:val="0"/>
              <w:divBdr>
                <w:top w:val="none" w:sz="0" w:space="0" w:color="auto"/>
                <w:left w:val="none" w:sz="0" w:space="0" w:color="auto"/>
                <w:bottom w:val="none" w:sz="0" w:space="0" w:color="auto"/>
                <w:right w:val="none" w:sz="0" w:space="0" w:color="auto"/>
              </w:divBdr>
              <w:divsChild>
                <w:div w:id="1027757474">
                  <w:marLeft w:val="0"/>
                  <w:marRight w:val="0"/>
                  <w:marTop w:val="0"/>
                  <w:marBottom w:val="0"/>
                  <w:divBdr>
                    <w:top w:val="none" w:sz="0" w:space="0" w:color="auto"/>
                    <w:left w:val="none" w:sz="0" w:space="0" w:color="auto"/>
                    <w:bottom w:val="none" w:sz="0" w:space="0" w:color="auto"/>
                    <w:right w:val="none" w:sz="0" w:space="0" w:color="auto"/>
                  </w:divBdr>
                  <w:divsChild>
                    <w:div w:id="19343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48782">
      <w:bodyDiv w:val="1"/>
      <w:marLeft w:val="0"/>
      <w:marRight w:val="0"/>
      <w:marTop w:val="0"/>
      <w:marBottom w:val="0"/>
      <w:divBdr>
        <w:top w:val="none" w:sz="0" w:space="0" w:color="auto"/>
        <w:left w:val="none" w:sz="0" w:space="0" w:color="auto"/>
        <w:bottom w:val="none" w:sz="0" w:space="0" w:color="auto"/>
        <w:right w:val="none" w:sz="0" w:space="0" w:color="auto"/>
      </w:divBdr>
    </w:div>
    <w:div w:id="1377505188">
      <w:bodyDiv w:val="1"/>
      <w:marLeft w:val="0"/>
      <w:marRight w:val="0"/>
      <w:marTop w:val="0"/>
      <w:marBottom w:val="0"/>
      <w:divBdr>
        <w:top w:val="none" w:sz="0" w:space="0" w:color="auto"/>
        <w:left w:val="none" w:sz="0" w:space="0" w:color="auto"/>
        <w:bottom w:val="none" w:sz="0" w:space="0" w:color="auto"/>
        <w:right w:val="none" w:sz="0" w:space="0" w:color="auto"/>
      </w:divBdr>
    </w:div>
    <w:div w:id="1392315488">
      <w:bodyDiv w:val="1"/>
      <w:marLeft w:val="0"/>
      <w:marRight w:val="0"/>
      <w:marTop w:val="0"/>
      <w:marBottom w:val="0"/>
      <w:divBdr>
        <w:top w:val="none" w:sz="0" w:space="0" w:color="auto"/>
        <w:left w:val="none" w:sz="0" w:space="0" w:color="auto"/>
        <w:bottom w:val="none" w:sz="0" w:space="0" w:color="auto"/>
        <w:right w:val="none" w:sz="0" w:space="0" w:color="auto"/>
      </w:divBdr>
    </w:div>
    <w:div w:id="1395009987">
      <w:bodyDiv w:val="1"/>
      <w:marLeft w:val="0"/>
      <w:marRight w:val="0"/>
      <w:marTop w:val="0"/>
      <w:marBottom w:val="0"/>
      <w:divBdr>
        <w:top w:val="none" w:sz="0" w:space="0" w:color="auto"/>
        <w:left w:val="none" w:sz="0" w:space="0" w:color="auto"/>
        <w:bottom w:val="none" w:sz="0" w:space="0" w:color="auto"/>
        <w:right w:val="none" w:sz="0" w:space="0" w:color="auto"/>
      </w:divBdr>
    </w:div>
    <w:div w:id="1396856960">
      <w:bodyDiv w:val="1"/>
      <w:marLeft w:val="0"/>
      <w:marRight w:val="0"/>
      <w:marTop w:val="0"/>
      <w:marBottom w:val="0"/>
      <w:divBdr>
        <w:top w:val="none" w:sz="0" w:space="0" w:color="auto"/>
        <w:left w:val="none" w:sz="0" w:space="0" w:color="auto"/>
        <w:bottom w:val="none" w:sz="0" w:space="0" w:color="auto"/>
        <w:right w:val="none" w:sz="0" w:space="0" w:color="auto"/>
      </w:divBdr>
    </w:div>
    <w:div w:id="1412652686">
      <w:bodyDiv w:val="1"/>
      <w:marLeft w:val="0"/>
      <w:marRight w:val="0"/>
      <w:marTop w:val="0"/>
      <w:marBottom w:val="0"/>
      <w:divBdr>
        <w:top w:val="none" w:sz="0" w:space="0" w:color="auto"/>
        <w:left w:val="none" w:sz="0" w:space="0" w:color="auto"/>
        <w:bottom w:val="none" w:sz="0" w:space="0" w:color="auto"/>
        <w:right w:val="none" w:sz="0" w:space="0" w:color="auto"/>
      </w:divBdr>
    </w:div>
    <w:div w:id="1416589209">
      <w:bodyDiv w:val="1"/>
      <w:marLeft w:val="0"/>
      <w:marRight w:val="0"/>
      <w:marTop w:val="0"/>
      <w:marBottom w:val="0"/>
      <w:divBdr>
        <w:top w:val="none" w:sz="0" w:space="0" w:color="auto"/>
        <w:left w:val="none" w:sz="0" w:space="0" w:color="auto"/>
        <w:bottom w:val="none" w:sz="0" w:space="0" w:color="auto"/>
        <w:right w:val="none" w:sz="0" w:space="0" w:color="auto"/>
      </w:divBdr>
    </w:div>
    <w:div w:id="1422489244">
      <w:bodyDiv w:val="1"/>
      <w:marLeft w:val="0"/>
      <w:marRight w:val="0"/>
      <w:marTop w:val="0"/>
      <w:marBottom w:val="0"/>
      <w:divBdr>
        <w:top w:val="none" w:sz="0" w:space="0" w:color="auto"/>
        <w:left w:val="none" w:sz="0" w:space="0" w:color="auto"/>
        <w:bottom w:val="none" w:sz="0" w:space="0" w:color="auto"/>
        <w:right w:val="none" w:sz="0" w:space="0" w:color="auto"/>
      </w:divBdr>
    </w:div>
    <w:div w:id="1422529890">
      <w:bodyDiv w:val="1"/>
      <w:marLeft w:val="0"/>
      <w:marRight w:val="0"/>
      <w:marTop w:val="0"/>
      <w:marBottom w:val="0"/>
      <w:divBdr>
        <w:top w:val="none" w:sz="0" w:space="0" w:color="auto"/>
        <w:left w:val="none" w:sz="0" w:space="0" w:color="auto"/>
        <w:bottom w:val="none" w:sz="0" w:space="0" w:color="auto"/>
        <w:right w:val="none" w:sz="0" w:space="0" w:color="auto"/>
      </w:divBdr>
    </w:div>
    <w:div w:id="1425299500">
      <w:bodyDiv w:val="1"/>
      <w:marLeft w:val="0"/>
      <w:marRight w:val="0"/>
      <w:marTop w:val="0"/>
      <w:marBottom w:val="0"/>
      <w:divBdr>
        <w:top w:val="none" w:sz="0" w:space="0" w:color="auto"/>
        <w:left w:val="none" w:sz="0" w:space="0" w:color="auto"/>
        <w:bottom w:val="none" w:sz="0" w:space="0" w:color="auto"/>
        <w:right w:val="none" w:sz="0" w:space="0" w:color="auto"/>
      </w:divBdr>
    </w:div>
    <w:div w:id="1432236994">
      <w:bodyDiv w:val="1"/>
      <w:marLeft w:val="0"/>
      <w:marRight w:val="0"/>
      <w:marTop w:val="0"/>
      <w:marBottom w:val="0"/>
      <w:divBdr>
        <w:top w:val="none" w:sz="0" w:space="0" w:color="auto"/>
        <w:left w:val="none" w:sz="0" w:space="0" w:color="auto"/>
        <w:bottom w:val="none" w:sz="0" w:space="0" w:color="auto"/>
        <w:right w:val="none" w:sz="0" w:space="0" w:color="auto"/>
      </w:divBdr>
    </w:div>
    <w:div w:id="1437484883">
      <w:bodyDiv w:val="1"/>
      <w:marLeft w:val="0"/>
      <w:marRight w:val="0"/>
      <w:marTop w:val="0"/>
      <w:marBottom w:val="0"/>
      <w:divBdr>
        <w:top w:val="none" w:sz="0" w:space="0" w:color="auto"/>
        <w:left w:val="none" w:sz="0" w:space="0" w:color="auto"/>
        <w:bottom w:val="none" w:sz="0" w:space="0" w:color="auto"/>
        <w:right w:val="none" w:sz="0" w:space="0" w:color="auto"/>
      </w:divBdr>
    </w:div>
    <w:div w:id="1449853437">
      <w:bodyDiv w:val="1"/>
      <w:marLeft w:val="0"/>
      <w:marRight w:val="0"/>
      <w:marTop w:val="0"/>
      <w:marBottom w:val="0"/>
      <w:divBdr>
        <w:top w:val="none" w:sz="0" w:space="0" w:color="auto"/>
        <w:left w:val="none" w:sz="0" w:space="0" w:color="auto"/>
        <w:bottom w:val="none" w:sz="0" w:space="0" w:color="auto"/>
        <w:right w:val="none" w:sz="0" w:space="0" w:color="auto"/>
      </w:divBdr>
    </w:div>
    <w:div w:id="1450662911">
      <w:bodyDiv w:val="1"/>
      <w:marLeft w:val="0"/>
      <w:marRight w:val="0"/>
      <w:marTop w:val="0"/>
      <w:marBottom w:val="0"/>
      <w:divBdr>
        <w:top w:val="none" w:sz="0" w:space="0" w:color="auto"/>
        <w:left w:val="none" w:sz="0" w:space="0" w:color="auto"/>
        <w:bottom w:val="none" w:sz="0" w:space="0" w:color="auto"/>
        <w:right w:val="none" w:sz="0" w:space="0" w:color="auto"/>
      </w:divBdr>
    </w:div>
    <w:div w:id="1451129169">
      <w:bodyDiv w:val="1"/>
      <w:marLeft w:val="0"/>
      <w:marRight w:val="0"/>
      <w:marTop w:val="0"/>
      <w:marBottom w:val="0"/>
      <w:divBdr>
        <w:top w:val="none" w:sz="0" w:space="0" w:color="auto"/>
        <w:left w:val="none" w:sz="0" w:space="0" w:color="auto"/>
        <w:bottom w:val="none" w:sz="0" w:space="0" w:color="auto"/>
        <w:right w:val="none" w:sz="0" w:space="0" w:color="auto"/>
      </w:divBdr>
    </w:div>
    <w:div w:id="1453091474">
      <w:bodyDiv w:val="1"/>
      <w:marLeft w:val="0"/>
      <w:marRight w:val="0"/>
      <w:marTop w:val="0"/>
      <w:marBottom w:val="0"/>
      <w:divBdr>
        <w:top w:val="none" w:sz="0" w:space="0" w:color="auto"/>
        <w:left w:val="none" w:sz="0" w:space="0" w:color="auto"/>
        <w:bottom w:val="none" w:sz="0" w:space="0" w:color="auto"/>
        <w:right w:val="none" w:sz="0" w:space="0" w:color="auto"/>
      </w:divBdr>
    </w:div>
    <w:div w:id="1458256326">
      <w:bodyDiv w:val="1"/>
      <w:marLeft w:val="0"/>
      <w:marRight w:val="0"/>
      <w:marTop w:val="0"/>
      <w:marBottom w:val="0"/>
      <w:divBdr>
        <w:top w:val="none" w:sz="0" w:space="0" w:color="auto"/>
        <w:left w:val="none" w:sz="0" w:space="0" w:color="auto"/>
        <w:bottom w:val="none" w:sz="0" w:space="0" w:color="auto"/>
        <w:right w:val="none" w:sz="0" w:space="0" w:color="auto"/>
      </w:divBdr>
    </w:div>
    <w:div w:id="1459371636">
      <w:bodyDiv w:val="1"/>
      <w:marLeft w:val="0"/>
      <w:marRight w:val="0"/>
      <w:marTop w:val="0"/>
      <w:marBottom w:val="0"/>
      <w:divBdr>
        <w:top w:val="none" w:sz="0" w:space="0" w:color="auto"/>
        <w:left w:val="none" w:sz="0" w:space="0" w:color="auto"/>
        <w:bottom w:val="none" w:sz="0" w:space="0" w:color="auto"/>
        <w:right w:val="none" w:sz="0" w:space="0" w:color="auto"/>
      </w:divBdr>
    </w:div>
    <w:div w:id="1459760076">
      <w:bodyDiv w:val="1"/>
      <w:marLeft w:val="0"/>
      <w:marRight w:val="0"/>
      <w:marTop w:val="0"/>
      <w:marBottom w:val="0"/>
      <w:divBdr>
        <w:top w:val="none" w:sz="0" w:space="0" w:color="auto"/>
        <w:left w:val="none" w:sz="0" w:space="0" w:color="auto"/>
        <w:bottom w:val="none" w:sz="0" w:space="0" w:color="auto"/>
        <w:right w:val="none" w:sz="0" w:space="0" w:color="auto"/>
      </w:divBdr>
    </w:div>
    <w:div w:id="1463303302">
      <w:bodyDiv w:val="1"/>
      <w:marLeft w:val="0"/>
      <w:marRight w:val="0"/>
      <w:marTop w:val="0"/>
      <w:marBottom w:val="0"/>
      <w:divBdr>
        <w:top w:val="none" w:sz="0" w:space="0" w:color="auto"/>
        <w:left w:val="none" w:sz="0" w:space="0" w:color="auto"/>
        <w:bottom w:val="none" w:sz="0" w:space="0" w:color="auto"/>
        <w:right w:val="none" w:sz="0" w:space="0" w:color="auto"/>
      </w:divBdr>
    </w:div>
    <w:div w:id="1470706583">
      <w:bodyDiv w:val="1"/>
      <w:marLeft w:val="0"/>
      <w:marRight w:val="0"/>
      <w:marTop w:val="0"/>
      <w:marBottom w:val="0"/>
      <w:divBdr>
        <w:top w:val="none" w:sz="0" w:space="0" w:color="auto"/>
        <w:left w:val="none" w:sz="0" w:space="0" w:color="auto"/>
        <w:bottom w:val="none" w:sz="0" w:space="0" w:color="auto"/>
        <w:right w:val="none" w:sz="0" w:space="0" w:color="auto"/>
      </w:divBdr>
    </w:div>
    <w:div w:id="1471094450">
      <w:bodyDiv w:val="1"/>
      <w:marLeft w:val="0"/>
      <w:marRight w:val="0"/>
      <w:marTop w:val="0"/>
      <w:marBottom w:val="0"/>
      <w:divBdr>
        <w:top w:val="none" w:sz="0" w:space="0" w:color="auto"/>
        <w:left w:val="none" w:sz="0" w:space="0" w:color="auto"/>
        <w:bottom w:val="none" w:sz="0" w:space="0" w:color="auto"/>
        <w:right w:val="none" w:sz="0" w:space="0" w:color="auto"/>
      </w:divBdr>
    </w:div>
    <w:div w:id="1471283500">
      <w:bodyDiv w:val="1"/>
      <w:marLeft w:val="0"/>
      <w:marRight w:val="0"/>
      <w:marTop w:val="0"/>
      <w:marBottom w:val="0"/>
      <w:divBdr>
        <w:top w:val="none" w:sz="0" w:space="0" w:color="auto"/>
        <w:left w:val="none" w:sz="0" w:space="0" w:color="auto"/>
        <w:bottom w:val="none" w:sz="0" w:space="0" w:color="auto"/>
        <w:right w:val="none" w:sz="0" w:space="0" w:color="auto"/>
      </w:divBdr>
    </w:div>
    <w:div w:id="1472400210">
      <w:bodyDiv w:val="1"/>
      <w:marLeft w:val="0"/>
      <w:marRight w:val="0"/>
      <w:marTop w:val="0"/>
      <w:marBottom w:val="0"/>
      <w:divBdr>
        <w:top w:val="none" w:sz="0" w:space="0" w:color="auto"/>
        <w:left w:val="none" w:sz="0" w:space="0" w:color="auto"/>
        <w:bottom w:val="none" w:sz="0" w:space="0" w:color="auto"/>
        <w:right w:val="none" w:sz="0" w:space="0" w:color="auto"/>
      </w:divBdr>
    </w:div>
    <w:div w:id="1483279301">
      <w:bodyDiv w:val="1"/>
      <w:marLeft w:val="0"/>
      <w:marRight w:val="0"/>
      <w:marTop w:val="0"/>
      <w:marBottom w:val="0"/>
      <w:divBdr>
        <w:top w:val="none" w:sz="0" w:space="0" w:color="auto"/>
        <w:left w:val="none" w:sz="0" w:space="0" w:color="auto"/>
        <w:bottom w:val="none" w:sz="0" w:space="0" w:color="auto"/>
        <w:right w:val="none" w:sz="0" w:space="0" w:color="auto"/>
      </w:divBdr>
    </w:div>
    <w:div w:id="1486626615">
      <w:bodyDiv w:val="1"/>
      <w:marLeft w:val="0"/>
      <w:marRight w:val="0"/>
      <w:marTop w:val="0"/>
      <w:marBottom w:val="0"/>
      <w:divBdr>
        <w:top w:val="none" w:sz="0" w:space="0" w:color="auto"/>
        <w:left w:val="none" w:sz="0" w:space="0" w:color="auto"/>
        <w:bottom w:val="none" w:sz="0" w:space="0" w:color="auto"/>
        <w:right w:val="none" w:sz="0" w:space="0" w:color="auto"/>
      </w:divBdr>
    </w:div>
    <w:div w:id="1498418903">
      <w:bodyDiv w:val="1"/>
      <w:marLeft w:val="0"/>
      <w:marRight w:val="0"/>
      <w:marTop w:val="0"/>
      <w:marBottom w:val="0"/>
      <w:divBdr>
        <w:top w:val="none" w:sz="0" w:space="0" w:color="auto"/>
        <w:left w:val="none" w:sz="0" w:space="0" w:color="auto"/>
        <w:bottom w:val="none" w:sz="0" w:space="0" w:color="auto"/>
        <w:right w:val="none" w:sz="0" w:space="0" w:color="auto"/>
      </w:divBdr>
    </w:div>
    <w:div w:id="1500122953">
      <w:bodyDiv w:val="1"/>
      <w:marLeft w:val="0"/>
      <w:marRight w:val="0"/>
      <w:marTop w:val="0"/>
      <w:marBottom w:val="0"/>
      <w:divBdr>
        <w:top w:val="none" w:sz="0" w:space="0" w:color="auto"/>
        <w:left w:val="none" w:sz="0" w:space="0" w:color="auto"/>
        <w:bottom w:val="none" w:sz="0" w:space="0" w:color="auto"/>
        <w:right w:val="none" w:sz="0" w:space="0" w:color="auto"/>
      </w:divBdr>
    </w:div>
    <w:div w:id="1510678332">
      <w:bodyDiv w:val="1"/>
      <w:marLeft w:val="0"/>
      <w:marRight w:val="0"/>
      <w:marTop w:val="0"/>
      <w:marBottom w:val="0"/>
      <w:divBdr>
        <w:top w:val="none" w:sz="0" w:space="0" w:color="auto"/>
        <w:left w:val="none" w:sz="0" w:space="0" w:color="auto"/>
        <w:bottom w:val="none" w:sz="0" w:space="0" w:color="auto"/>
        <w:right w:val="none" w:sz="0" w:space="0" w:color="auto"/>
      </w:divBdr>
    </w:div>
    <w:div w:id="1512983955">
      <w:bodyDiv w:val="1"/>
      <w:marLeft w:val="0"/>
      <w:marRight w:val="0"/>
      <w:marTop w:val="0"/>
      <w:marBottom w:val="0"/>
      <w:divBdr>
        <w:top w:val="none" w:sz="0" w:space="0" w:color="auto"/>
        <w:left w:val="none" w:sz="0" w:space="0" w:color="auto"/>
        <w:bottom w:val="none" w:sz="0" w:space="0" w:color="auto"/>
        <w:right w:val="none" w:sz="0" w:space="0" w:color="auto"/>
      </w:divBdr>
    </w:div>
    <w:div w:id="1534616448">
      <w:bodyDiv w:val="1"/>
      <w:marLeft w:val="0"/>
      <w:marRight w:val="0"/>
      <w:marTop w:val="0"/>
      <w:marBottom w:val="0"/>
      <w:divBdr>
        <w:top w:val="none" w:sz="0" w:space="0" w:color="auto"/>
        <w:left w:val="none" w:sz="0" w:space="0" w:color="auto"/>
        <w:bottom w:val="none" w:sz="0" w:space="0" w:color="auto"/>
        <w:right w:val="none" w:sz="0" w:space="0" w:color="auto"/>
      </w:divBdr>
    </w:div>
    <w:div w:id="1536112869">
      <w:bodyDiv w:val="1"/>
      <w:marLeft w:val="0"/>
      <w:marRight w:val="0"/>
      <w:marTop w:val="0"/>
      <w:marBottom w:val="0"/>
      <w:divBdr>
        <w:top w:val="none" w:sz="0" w:space="0" w:color="auto"/>
        <w:left w:val="none" w:sz="0" w:space="0" w:color="auto"/>
        <w:bottom w:val="none" w:sz="0" w:space="0" w:color="auto"/>
        <w:right w:val="none" w:sz="0" w:space="0" w:color="auto"/>
      </w:divBdr>
    </w:div>
    <w:div w:id="1539509230">
      <w:bodyDiv w:val="1"/>
      <w:marLeft w:val="0"/>
      <w:marRight w:val="0"/>
      <w:marTop w:val="0"/>
      <w:marBottom w:val="0"/>
      <w:divBdr>
        <w:top w:val="none" w:sz="0" w:space="0" w:color="auto"/>
        <w:left w:val="none" w:sz="0" w:space="0" w:color="auto"/>
        <w:bottom w:val="none" w:sz="0" w:space="0" w:color="auto"/>
        <w:right w:val="none" w:sz="0" w:space="0" w:color="auto"/>
      </w:divBdr>
    </w:div>
    <w:div w:id="1550386110">
      <w:bodyDiv w:val="1"/>
      <w:marLeft w:val="0"/>
      <w:marRight w:val="0"/>
      <w:marTop w:val="0"/>
      <w:marBottom w:val="0"/>
      <w:divBdr>
        <w:top w:val="none" w:sz="0" w:space="0" w:color="auto"/>
        <w:left w:val="none" w:sz="0" w:space="0" w:color="auto"/>
        <w:bottom w:val="none" w:sz="0" w:space="0" w:color="auto"/>
        <w:right w:val="none" w:sz="0" w:space="0" w:color="auto"/>
      </w:divBdr>
    </w:div>
    <w:div w:id="1551068141">
      <w:bodyDiv w:val="1"/>
      <w:marLeft w:val="0"/>
      <w:marRight w:val="0"/>
      <w:marTop w:val="0"/>
      <w:marBottom w:val="0"/>
      <w:divBdr>
        <w:top w:val="none" w:sz="0" w:space="0" w:color="auto"/>
        <w:left w:val="none" w:sz="0" w:space="0" w:color="auto"/>
        <w:bottom w:val="none" w:sz="0" w:space="0" w:color="auto"/>
        <w:right w:val="none" w:sz="0" w:space="0" w:color="auto"/>
      </w:divBdr>
    </w:div>
    <w:div w:id="1552115198">
      <w:bodyDiv w:val="1"/>
      <w:marLeft w:val="0"/>
      <w:marRight w:val="0"/>
      <w:marTop w:val="0"/>
      <w:marBottom w:val="0"/>
      <w:divBdr>
        <w:top w:val="none" w:sz="0" w:space="0" w:color="auto"/>
        <w:left w:val="none" w:sz="0" w:space="0" w:color="auto"/>
        <w:bottom w:val="none" w:sz="0" w:space="0" w:color="auto"/>
        <w:right w:val="none" w:sz="0" w:space="0" w:color="auto"/>
      </w:divBdr>
    </w:div>
    <w:div w:id="1558513381">
      <w:bodyDiv w:val="1"/>
      <w:marLeft w:val="0"/>
      <w:marRight w:val="0"/>
      <w:marTop w:val="0"/>
      <w:marBottom w:val="0"/>
      <w:divBdr>
        <w:top w:val="none" w:sz="0" w:space="0" w:color="auto"/>
        <w:left w:val="none" w:sz="0" w:space="0" w:color="auto"/>
        <w:bottom w:val="none" w:sz="0" w:space="0" w:color="auto"/>
        <w:right w:val="none" w:sz="0" w:space="0" w:color="auto"/>
      </w:divBdr>
    </w:div>
    <w:div w:id="1566379725">
      <w:bodyDiv w:val="1"/>
      <w:marLeft w:val="0"/>
      <w:marRight w:val="0"/>
      <w:marTop w:val="0"/>
      <w:marBottom w:val="0"/>
      <w:divBdr>
        <w:top w:val="none" w:sz="0" w:space="0" w:color="auto"/>
        <w:left w:val="none" w:sz="0" w:space="0" w:color="auto"/>
        <w:bottom w:val="none" w:sz="0" w:space="0" w:color="auto"/>
        <w:right w:val="none" w:sz="0" w:space="0" w:color="auto"/>
      </w:divBdr>
    </w:div>
    <w:div w:id="1575507870">
      <w:bodyDiv w:val="1"/>
      <w:marLeft w:val="0"/>
      <w:marRight w:val="0"/>
      <w:marTop w:val="0"/>
      <w:marBottom w:val="0"/>
      <w:divBdr>
        <w:top w:val="none" w:sz="0" w:space="0" w:color="auto"/>
        <w:left w:val="none" w:sz="0" w:space="0" w:color="auto"/>
        <w:bottom w:val="none" w:sz="0" w:space="0" w:color="auto"/>
        <w:right w:val="none" w:sz="0" w:space="0" w:color="auto"/>
      </w:divBdr>
    </w:div>
    <w:div w:id="1577276127">
      <w:bodyDiv w:val="1"/>
      <w:marLeft w:val="0"/>
      <w:marRight w:val="0"/>
      <w:marTop w:val="0"/>
      <w:marBottom w:val="0"/>
      <w:divBdr>
        <w:top w:val="none" w:sz="0" w:space="0" w:color="auto"/>
        <w:left w:val="none" w:sz="0" w:space="0" w:color="auto"/>
        <w:bottom w:val="none" w:sz="0" w:space="0" w:color="auto"/>
        <w:right w:val="none" w:sz="0" w:space="0" w:color="auto"/>
      </w:divBdr>
    </w:div>
    <w:div w:id="1582639538">
      <w:bodyDiv w:val="1"/>
      <w:marLeft w:val="0"/>
      <w:marRight w:val="0"/>
      <w:marTop w:val="0"/>
      <w:marBottom w:val="0"/>
      <w:divBdr>
        <w:top w:val="none" w:sz="0" w:space="0" w:color="auto"/>
        <w:left w:val="none" w:sz="0" w:space="0" w:color="auto"/>
        <w:bottom w:val="none" w:sz="0" w:space="0" w:color="auto"/>
        <w:right w:val="none" w:sz="0" w:space="0" w:color="auto"/>
      </w:divBdr>
      <w:divsChild>
        <w:div w:id="1249340299">
          <w:marLeft w:val="0"/>
          <w:marRight w:val="0"/>
          <w:marTop w:val="0"/>
          <w:marBottom w:val="0"/>
          <w:divBdr>
            <w:top w:val="none" w:sz="0" w:space="0" w:color="auto"/>
            <w:left w:val="none" w:sz="0" w:space="0" w:color="auto"/>
            <w:bottom w:val="none" w:sz="0" w:space="0" w:color="auto"/>
            <w:right w:val="none" w:sz="0" w:space="0" w:color="auto"/>
          </w:divBdr>
          <w:divsChild>
            <w:div w:id="554702831">
              <w:marLeft w:val="0"/>
              <w:marRight w:val="0"/>
              <w:marTop w:val="0"/>
              <w:marBottom w:val="0"/>
              <w:divBdr>
                <w:top w:val="none" w:sz="0" w:space="0" w:color="auto"/>
                <w:left w:val="none" w:sz="0" w:space="0" w:color="auto"/>
                <w:bottom w:val="none" w:sz="0" w:space="0" w:color="auto"/>
                <w:right w:val="none" w:sz="0" w:space="0" w:color="auto"/>
              </w:divBdr>
              <w:divsChild>
                <w:div w:id="1494444480">
                  <w:marLeft w:val="0"/>
                  <w:marRight w:val="0"/>
                  <w:marTop w:val="0"/>
                  <w:marBottom w:val="0"/>
                  <w:divBdr>
                    <w:top w:val="none" w:sz="0" w:space="0" w:color="auto"/>
                    <w:left w:val="none" w:sz="0" w:space="0" w:color="auto"/>
                    <w:bottom w:val="none" w:sz="0" w:space="0" w:color="auto"/>
                    <w:right w:val="none" w:sz="0" w:space="0" w:color="auto"/>
                  </w:divBdr>
                  <w:divsChild>
                    <w:div w:id="91097454">
                      <w:marLeft w:val="0"/>
                      <w:marRight w:val="0"/>
                      <w:marTop w:val="0"/>
                      <w:marBottom w:val="0"/>
                      <w:divBdr>
                        <w:top w:val="none" w:sz="0" w:space="0" w:color="auto"/>
                        <w:left w:val="none" w:sz="0" w:space="0" w:color="auto"/>
                        <w:bottom w:val="none" w:sz="0" w:space="0" w:color="auto"/>
                        <w:right w:val="none" w:sz="0" w:space="0" w:color="auto"/>
                      </w:divBdr>
                      <w:divsChild>
                        <w:div w:id="269438268">
                          <w:marLeft w:val="405"/>
                          <w:marRight w:val="0"/>
                          <w:marTop w:val="0"/>
                          <w:marBottom w:val="0"/>
                          <w:divBdr>
                            <w:top w:val="none" w:sz="0" w:space="0" w:color="auto"/>
                            <w:left w:val="none" w:sz="0" w:space="0" w:color="auto"/>
                            <w:bottom w:val="none" w:sz="0" w:space="0" w:color="auto"/>
                            <w:right w:val="none" w:sz="0" w:space="0" w:color="auto"/>
                          </w:divBdr>
                          <w:divsChild>
                            <w:div w:id="1357580779">
                              <w:marLeft w:val="0"/>
                              <w:marRight w:val="0"/>
                              <w:marTop w:val="0"/>
                              <w:marBottom w:val="0"/>
                              <w:divBdr>
                                <w:top w:val="none" w:sz="0" w:space="0" w:color="auto"/>
                                <w:left w:val="none" w:sz="0" w:space="0" w:color="auto"/>
                                <w:bottom w:val="none" w:sz="0" w:space="0" w:color="auto"/>
                                <w:right w:val="none" w:sz="0" w:space="0" w:color="auto"/>
                              </w:divBdr>
                              <w:divsChild>
                                <w:div w:id="570778653">
                                  <w:marLeft w:val="0"/>
                                  <w:marRight w:val="0"/>
                                  <w:marTop w:val="0"/>
                                  <w:marBottom w:val="0"/>
                                  <w:divBdr>
                                    <w:top w:val="none" w:sz="0" w:space="0" w:color="auto"/>
                                    <w:left w:val="none" w:sz="0" w:space="0" w:color="auto"/>
                                    <w:bottom w:val="none" w:sz="0" w:space="0" w:color="auto"/>
                                    <w:right w:val="none" w:sz="0" w:space="0" w:color="auto"/>
                                  </w:divBdr>
                                  <w:divsChild>
                                    <w:div w:id="870193832">
                                      <w:marLeft w:val="0"/>
                                      <w:marRight w:val="0"/>
                                      <w:marTop w:val="60"/>
                                      <w:marBottom w:val="0"/>
                                      <w:divBdr>
                                        <w:top w:val="none" w:sz="0" w:space="0" w:color="auto"/>
                                        <w:left w:val="none" w:sz="0" w:space="0" w:color="auto"/>
                                        <w:bottom w:val="none" w:sz="0" w:space="0" w:color="auto"/>
                                        <w:right w:val="none" w:sz="0" w:space="0" w:color="auto"/>
                                      </w:divBdr>
                                      <w:divsChild>
                                        <w:div w:id="1554653755">
                                          <w:marLeft w:val="0"/>
                                          <w:marRight w:val="0"/>
                                          <w:marTop w:val="0"/>
                                          <w:marBottom w:val="0"/>
                                          <w:divBdr>
                                            <w:top w:val="none" w:sz="0" w:space="0" w:color="auto"/>
                                            <w:left w:val="none" w:sz="0" w:space="0" w:color="auto"/>
                                            <w:bottom w:val="none" w:sz="0" w:space="0" w:color="auto"/>
                                            <w:right w:val="none" w:sz="0" w:space="0" w:color="auto"/>
                                          </w:divBdr>
                                          <w:divsChild>
                                            <w:div w:id="759837468">
                                              <w:marLeft w:val="0"/>
                                              <w:marRight w:val="0"/>
                                              <w:marTop w:val="0"/>
                                              <w:marBottom w:val="0"/>
                                              <w:divBdr>
                                                <w:top w:val="none" w:sz="0" w:space="0" w:color="auto"/>
                                                <w:left w:val="none" w:sz="0" w:space="0" w:color="auto"/>
                                                <w:bottom w:val="none" w:sz="0" w:space="0" w:color="auto"/>
                                                <w:right w:val="none" w:sz="0" w:space="0" w:color="auto"/>
                                              </w:divBdr>
                                              <w:divsChild>
                                                <w:div w:id="1364742458">
                                                  <w:marLeft w:val="0"/>
                                                  <w:marRight w:val="0"/>
                                                  <w:marTop w:val="0"/>
                                                  <w:marBottom w:val="0"/>
                                                  <w:divBdr>
                                                    <w:top w:val="none" w:sz="0" w:space="0" w:color="auto"/>
                                                    <w:left w:val="none" w:sz="0" w:space="0" w:color="auto"/>
                                                    <w:bottom w:val="none" w:sz="0" w:space="0" w:color="auto"/>
                                                    <w:right w:val="none" w:sz="0" w:space="0" w:color="auto"/>
                                                  </w:divBdr>
                                                  <w:divsChild>
                                                    <w:div w:id="134110924">
                                                      <w:marLeft w:val="0"/>
                                                      <w:marRight w:val="0"/>
                                                      <w:marTop w:val="0"/>
                                                      <w:marBottom w:val="0"/>
                                                      <w:divBdr>
                                                        <w:top w:val="none" w:sz="0" w:space="0" w:color="auto"/>
                                                        <w:left w:val="none" w:sz="0" w:space="0" w:color="auto"/>
                                                        <w:bottom w:val="none" w:sz="0" w:space="0" w:color="auto"/>
                                                        <w:right w:val="none" w:sz="0" w:space="0" w:color="auto"/>
                                                      </w:divBdr>
                                                      <w:divsChild>
                                                        <w:div w:id="1302613721">
                                                          <w:marLeft w:val="0"/>
                                                          <w:marRight w:val="0"/>
                                                          <w:marTop w:val="0"/>
                                                          <w:marBottom w:val="0"/>
                                                          <w:divBdr>
                                                            <w:top w:val="none" w:sz="0" w:space="0" w:color="auto"/>
                                                            <w:left w:val="none" w:sz="0" w:space="0" w:color="auto"/>
                                                            <w:bottom w:val="none" w:sz="0" w:space="0" w:color="auto"/>
                                                            <w:right w:val="none" w:sz="0" w:space="0" w:color="auto"/>
                                                          </w:divBdr>
                                                          <w:divsChild>
                                                            <w:div w:id="106776973">
                                                              <w:marLeft w:val="0"/>
                                                              <w:marRight w:val="0"/>
                                                              <w:marTop w:val="0"/>
                                                              <w:marBottom w:val="0"/>
                                                              <w:divBdr>
                                                                <w:top w:val="none" w:sz="0" w:space="0" w:color="auto"/>
                                                                <w:left w:val="none" w:sz="0" w:space="0" w:color="auto"/>
                                                                <w:bottom w:val="none" w:sz="0" w:space="0" w:color="auto"/>
                                                                <w:right w:val="none" w:sz="0" w:space="0" w:color="auto"/>
                                                              </w:divBdr>
                                                              <w:divsChild>
                                                                <w:div w:id="91516889">
                                                                  <w:marLeft w:val="0"/>
                                                                  <w:marRight w:val="0"/>
                                                                  <w:marTop w:val="0"/>
                                                                  <w:marBottom w:val="0"/>
                                                                  <w:divBdr>
                                                                    <w:top w:val="none" w:sz="0" w:space="0" w:color="auto"/>
                                                                    <w:left w:val="none" w:sz="0" w:space="0" w:color="auto"/>
                                                                    <w:bottom w:val="none" w:sz="0" w:space="0" w:color="auto"/>
                                                                    <w:right w:val="none" w:sz="0" w:space="0" w:color="auto"/>
                                                                  </w:divBdr>
                                                                  <w:divsChild>
                                                                    <w:div w:id="18624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5941624">
      <w:bodyDiv w:val="1"/>
      <w:marLeft w:val="0"/>
      <w:marRight w:val="0"/>
      <w:marTop w:val="0"/>
      <w:marBottom w:val="0"/>
      <w:divBdr>
        <w:top w:val="none" w:sz="0" w:space="0" w:color="auto"/>
        <w:left w:val="none" w:sz="0" w:space="0" w:color="auto"/>
        <w:bottom w:val="none" w:sz="0" w:space="0" w:color="auto"/>
        <w:right w:val="none" w:sz="0" w:space="0" w:color="auto"/>
      </w:divBdr>
    </w:div>
    <w:div w:id="1597865729">
      <w:bodyDiv w:val="1"/>
      <w:marLeft w:val="0"/>
      <w:marRight w:val="0"/>
      <w:marTop w:val="0"/>
      <w:marBottom w:val="0"/>
      <w:divBdr>
        <w:top w:val="none" w:sz="0" w:space="0" w:color="auto"/>
        <w:left w:val="none" w:sz="0" w:space="0" w:color="auto"/>
        <w:bottom w:val="none" w:sz="0" w:space="0" w:color="auto"/>
        <w:right w:val="none" w:sz="0" w:space="0" w:color="auto"/>
      </w:divBdr>
    </w:div>
    <w:div w:id="1608855404">
      <w:bodyDiv w:val="1"/>
      <w:marLeft w:val="0"/>
      <w:marRight w:val="0"/>
      <w:marTop w:val="0"/>
      <w:marBottom w:val="0"/>
      <w:divBdr>
        <w:top w:val="none" w:sz="0" w:space="0" w:color="auto"/>
        <w:left w:val="none" w:sz="0" w:space="0" w:color="auto"/>
        <w:bottom w:val="none" w:sz="0" w:space="0" w:color="auto"/>
        <w:right w:val="none" w:sz="0" w:space="0" w:color="auto"/>
      </w:divBdr>
    </w:div>
    <w:div w:id="1612124050">
      <w:bodyDiv w:val="1"/>
      <w:marLeft w:val="0"/>
      <w:marRight w:val="0"/>
      <w:marTop w:val="0"/>
      <w:marBottom w:val="0"/>
      <w:divBdr>
        <w:top w:val="none" w:sz="0" w:space="0" w:color="auto"/>
        <w:left w:val="none" w:sz="0" w:space="0" w:color="auto"/>
        <w:bottom w:val="none" w:sz="0" w:space="0" w:color="auto"/>
        <w:right w:val="none" w:sz="0" w:space="0" w:color="auto"/>
      </w:divBdr>
    </w:div>
    <w:div w:id="1618294759">
      <w:bodyDiv w:val="1"/>
      <w:marLeft w:val="0"/>
      <w:marRight w:val="0"/>
      <w:marTop w:val="0"/>
      <w:marBottom w:val="0"/>
      <w:divBdr>
        <w:top w:val="none" w:sz="0" w:space="0" w:color="auto"/>
        <w:left w:val="none" w:sz="0" w:space="0" w:color="auto"/>
        <w:bottom w:val="none" w:sz="0" w:space="0" w:color="auto"/>
        <w:right w:val="none" w:sz="0" w:space="0" w:color="auto"/>
      </w:divBdr>
    </w:div>
    <w:div w:id="1619414439">
      <w:bodyDiv w:val="1"/>
      <w:marLeft w:val="0"/>
      <w:marRight w:val="0"/>
      <w:marTop w:val="0"/>
      <w:marBottom w:val="0"/>
      <w:divBdr>
        <w:top w:val="none" w:sz="0" w:space="0" w:color="auto"/>
        <w:left w:val="none" w:sz="0" w:space="0" w:color="auto"/>
        <w:bottom w:val="none" w:sz="0" w:space="0" w:color="auto"/>
        <w:right w:val="none" w:sz="0" w:space="0" w:color="auto"/>
      </w:divBdr>
    </w:div>
    <w:div w:id="1625891989">
      <w:bodyDiv w:val="1"/>
      <w:marLeft w:val="0"/>
      <w:marRight w:val="0"/>
      <w:marTop w:val="0"/>
      <w:marBottom w:val="0"/>
      <w:divBdr>
        <w:top w:val="none" w:sz="0" w:space="0" w:color="auto"/>
        <w:left w:val="none" w:sz="0" w:space="0" w:color="auto"/>
        <w:bottom w:val="none" w:sz="0" w:space="0" w:color="auto"/>
        <w:right w:val="none" w:sz="0" w:space="0" w:color="auto"/>
      </w:divBdr>
    </w:div>
    <w:div w:id="1626889270">
      <w:bodyDiv w:val="1"/>
      <w:marLeft w:val="0"/>
      <w:marRight w:val="0"/>
      <w:marTop w:val="0"/>
      <w:marBottom w:val="0"/>
      <w:divBdr>
        <w:top w:val="none" w:sz="0" w:space="0" w:color="auto"/>
        <w:left w:val="none" w:sz="0" w:space="0" w:color="auto"/>
        <w:bottom w:val="none" w:sz="0" w:space="0" w:color="auto"/>
        <w:right w:val="none" w:sz="0" w:space="0" w:color="auto"/>
      </w:divBdr>
    </w:div>
    <w:div w:id="1634172257">
      <w:bodyDiv w:val="1"/>
      <w:marLeft w:val="0"/>
      <w:marRight w:val="0"/>
      <w:marTop w:val="0"/>
      <w:marBottom w:val="0"/>
      <w:divBdr>
        <w:top w:val="none" w:sz="0" w:space="0" w:color="auto"/>
        <w:left w:val="none" w:sz="0" w:space="0" w:color="auto"/>
        <w:bottom w:val="none" w:sz="0" w:space="0" w:color="auto"/>
        <w:right w:val="none" w:sz="0" w:space="0" w:color="auto"/>
      </w:divBdr>
    </w:div>
    <w:div w:id="1634558296">
      <w:bodyDiv w:val="1"/>
      <w:marLeft w:val="0"/>
      <w:marRight w:val="0"/>
      <w:marTop w:val="0"/>
      <w:marBottom w:val="0"/>
      <w:divBdr>
        <w:top w:val="none" w:sz="0" w:space="0" w:color="auto"/>
        <w:left w:val="none" w:sz="0" w:space="0" w:color="auto"/>
        <w:bottom w:val="none" w:sz="0" w:space="0" w:color="auto"/>
        <w:right w:val="none" w:sz="0" w:space="0" w:color="auto"/>
      </w:divBdr>
    </w:div>
    <w:div w:id="1652056697">
      <w:bodyDiv w:val="1"/>
      <w:marLeft w:val="0"/>
      <w:marRight w:val="0"/>
      <w:marTop w:val="0"/>
      <w:marBottom w:val="0"/>
      <w:divBdr>
        <w:top w:val="none" w:sz="0" w:space="0" w:color="auto"/>
        <w:left w:val="none" w:sz="0" w:space="0" w:color="auto"/>
        <w:bottom w:val="none" w:sz="0" w:space="0" w:color="auto"/>
        <w:right w:val="none" w:sz="0" w:space="0" w:color="auto"/>
      </w:divBdr>
    </w:div>
    <w:div w:id="1652441005">
      <w:bodyDiv w:val="1"/>
      <w:marLeft w:val="0"/>
      <w:marRight w:val="0"/>
      <w:marTop w:val="0"/>
      <w:marBottom w:val="0"/>
      <w:divBdr>
        <w:top w:val="none" w:sz="0" w:space="0" w:color="auto"/>
        <w:left w:val="none" w:sz="0" w:space="0" w:color="auto"/>
        <w:bottom w:val="none" w:sz="0" w:space="0" w:color="auto"/>
        <w:right w:val="none" w:sz="0" w:space="0" w:color="auto"/>
      </w:divBdr>
    </w:div>
    <w:div w:id="1662729469">
      <w:bodyDiv w:val="1"/>
      <w:marLeft w:val="0"/>
      <w:marRight w:val="0"/>
      <w:marTop w:val="0"/>
      <w:marBottom w:val="0"/>
      <w:divBdr>
        <w:top w:val="none" w:sz="0" w:space="0" w:color="auto"/>
        <w:left w:val="none" w:sz="0" w:space="0" w:color="auto"/>
        <w:bottom w:val="none" w:sz="0" w:space="0" w:color="auto"/>
        <w:right w:val="none" w:sz="0" w:space="0" w:color="auto"/>
      </w:divBdr>
      <w:divsChild>
        <w:div w:id="188496432">
          <w:marLeft w:val="0"/>
          <w:marRight w:val="0"/>
          <w:marTop w:val="0"/>
          <w:marBottom w:val="0"/>
          <w:divBdr>
            <w:top w:val="none" w:sz="0" w:space="0" w:color="auto"/>
            <w:left w:val="none" w:sz="0" w:space="0" w:color="auto"/>
            <w:bottom w:val="none" w:sz="0" w:space="0" w:color="auto"/>
            <w:right w:val="none" w:sz="0" w:space="0" w:color="auto"/>
          </w:divBdr>
        </w:div>
        <w:div w:id="1730227393">
          <w:marLeft w:val="0"/>
          <w:marRight w:val="0"/>
          <w:marTop w:val="0"/>
          <w:marBottom w:val="0"/>
          <w:divBdr>
            <w:top w:val="none" w:sz="0" w:space="0" w:color="auto"/>
            <w:left w:val="none" w:sz="0" w:space="0" w:color="auto"/>
            <w:bottom w:val="none" w:sz="0" w:space="0" w:color="auto"/>
            <w:right w:val="none" w:sz="0" w:space="0" w:color="auto"/>
          </w:divBdr>
        </w:div>
        <w:div w:id="2097245167">
          <w:marLeft w:val="0"/>
          <w:marRight w:val="0"/>
          <w:marTop w:val="0"/>
          <w:marBottom w:val="0"/>
          <w:divBdr>
            <w:top w:val="none" w:sz="0" w:space="0" w:color="auto"/>
            <w:left w:val="none" w:sz="0" w:space="0" w:color="auto"/>
            <w:bottom w:val="none" w:sz="0" w:space="0" w:color="auto"/>
            <w:right w:val="none" w:sz="0" w:space="0" w:color="auto"/>
          </w:divBdr>
        </w:div>
        <w:div w:id="1777209285">
          <w:marLeft w:val="720"/>
          <w:marRight w:val="0"/>
          <w:marTop w:val="0"/>
          <w:marBottom w:val="0"/>
          <w:divBdr>
            <w:top w:val="none" w:sz="0" w:space="0" w:color="auto"/>
            <w:left w:val="none" w:sz="0" w:space="0" w:color="auto"/>
            <w:bottom w:val="none" w:sz="0" w:space="0" w:color="auto"/>
            <w:right w:val="none" w:sz="0" w:space="0" w:color="auto"/>
          </w:divBdr>
        </w:div>
        <w:div w:id="2009407877">
          <w:marLeft w:val="720"/>
          <w:marRight w:val="0"/>
          <w:marTop w:val="0"/>
          <w:marBottom w:val="0"/>
          <w:divBdr>
            <w:top w:val="none" w:sz="0" w:space="0" w:color="auto"/>
            <w:left w:val="none" w:sz="0" w:space="0" w:color="auto"/>
            <w:bottom w:val="none" w:sz="0" w:space="0" w:color="auto"/>
            <w:right w:val="none" w:sz="0" w:space="0" w:color="auto"/>
          </w:divBdr>
        </w:div>
        <w:div w:id="244193192">
          <w:marLeft w:val="720"/>
          <w:marRight w:val="0"/>
          <w:marTop w:val="0"/>
          <w:marBottom w:val="0"/>
          <w:divBdr>
            <w:top w:val="none" w:sz="0" w:space="0" w:color="auto"/>
            <w:left w:val="none" w:sz="0" w:space="0" w:color="auto"/>
            <w:bottom w:val="none" w:sz="0" w:space="0" w:color="auto"/>
            <w:right w:val="none" w:sz="0" w:space="0" w:color="auto"/>
          </w:divBdr>
        </w:div>
        <w:div w:id="125969690">
          <w:marLeft w:val="0"/>
          <w:marRight w:val="0"/>
          <w:marTop w:val="0"/>
          <w:marBottom w:val="0"/>
          <w:divBdr>
            <w:top w:val="none" w:sz="0" w:space="0" w:color="auto"/>
            <w:left w:val="none" w:sz="0" w:space="0" w:color="auto"/>
            <w:bottom w:val="none" w:sz="0" w:space="0" w:color="auto"/>
            <w:right w:val="none" w:sz="0" w:space="0" w:color="auto"/>
          </w:divBdr>
        </w:div>
        <w:div w:id="1737897871">
          <w:marLeft w:val="0"/>
          <w:marRight w:val="0"/>
          <w:marTop w:val="0"/>
          <w:marBottom w:val="0"/>
          <w:divBdr>
            <w:top w:val="none" w:sz="0" w:space="0" w:color="auto"/>
            <w:left w:val="none" w:sz="0" w:space="0" w:color="auto"/>
            <w:bottom w:val="none" w:sz="0" w:space="0" w:color="auto"/>
            <w:right w:val="none" w:sz="0" w:space="0" w:color="auto"/>
          </w:divBdr>
        </w:div>
        <w:div w:id="220168046">
          <w:marLeft w:val="0"/>
          <w:marRight w:val="0"/>
          <w:marTop w:val="0"/>
          <w:marBottom w:val="0"/>
          <w:divBdr>
            <w:top w:val="none" w:sz="0" w:space="0" w:color="auto"/>
            <w:left w:val="none" w:sz="0" w:space="0" w:color="auto"/>
            <w:bottom w:val="none" w:sz="0" w:space="0" w:color="auto"/>
            <w:right w:val="none" w:sz="0" w:space="0" w:color="auto"/>
          </w:divBdr>
        </w:div>
        <w:div w:id="1062410245">
          <w:marLeft w:val="0"/>
          <w:marRight w:val="0"/>
          <w:marTop w:val="0"/>
          <w:marBottom w:val="0"/>
          <w:divBdr>
            <w:top w:val="none" w:sz="0" w:space="0" w:color="auto"/>
            <w:left w:val="none" w:sz="0" w:space="0" w:color="auto"/>
            <w:bottom w:val="none" w:sz="0" w:space="0" w:color="auto"/>
            <w:right w:val="none" w:sz="0" w:space="0" w:color="auto"/>
          </w:divBdr>
        </w:div>
        <w:div w:id="398987205">
          <w:marLeft w:val="0"/>
          <w:marRight w:val="0"/>
          <w:marTop w:val="0"/>
          <w:marBottom w:val="0"/>
          <w:divBdr>
            <w:top w:val="none" w:sz="0" w:space="0" w:color="auto"/>
            <w:left w:val="none" w:sz="0" w:space="0" w:color="auto"/>
            <w:bottom w:val="none" w:sz="0" w:space="0" w:color="auto"/>
            <w:right w:val="none" w:sz="0" w:space="0" w:color="auto"/>
          </w:divBdr>
        </w:div>
        <w:div w:id="134952169">
          <w:marLeft w:val="0"/>
          <w:marRight w:val="0"/>
          <w:marTop w:val="0"/>
          <w:marBottom w:val="0"/>
          <w:divBdr>
            <w:top w:val="none" w:sz="0" w:space="0" w:color="auto"/>
            <w:left w:val="none" w:sz="0" w:space="0" w:color="auto"/>
            <w:bottom w:val="none" w:sz="0" w:space="0" w:color="auto"/>
            <w:right w:val="none" w:sz="0" w:space="0" w:color="auto"/>
          </w:divBdr>
        </w:div>
      </w:divsChild>
    </w:div>
    <w:div w:id="1663507472">
      <w:bodyDiv w:val="1"/>
      <w:marLeft w:val="0"/>
      <w:marRight w:val="0"/>
      <w:marTop w:val="0"/>
      <w:marBottom w:val="0"/>
      <w:divBdr>
        <w:top w:val="none" w:sz="0" w:space="0" w:color="auto"/>
        <w:left w:val="none" w:sz="0" w:space="0" w:color="auto"/>
        <w:bottom w:val="none" w:sz="0" w:space="0" w:color="auto"/>
        <w:right w:val="none" w:sz="0" w:space="0" w:color="auto"/>
      </w:divBdr>
    </w:div>
    <w:div w:id="1665353427">
      <w:bodyDiv w:val="1"/>
      <w:marLeft w:val="0"/>
      <w:marRight w:val="0"/>
      <w:marTop w:val="0"/>
      <w:marBottom w:val="0"/>
      <w:divBdr>
        <w:top w:val="none" w:sz="0" w:space="0" w:color="auto"/>
        <w:left w:val="none" w:sz="0" w:space="0" w:color="auto"/>
        <w:bottom w:val="none" w:sz="0" w:space="0" w:color="auto"/>
        <w:right w:val="none" w:sz="0" w:space="0" w:color="auto"/>
      </w:divBdr>
    </w:div>
    <w:div w:id="1676028859">
      <w:bodyDiv w:val="1"/>
      <w:marLeft w:val="0"/>
      <w:marRight w:val="0"/>
      <w:marTop w:val="0"/>
      <w:marBottom w:val="0"/>
      <w:divBdr>
        <w:top w:val="none" w:sz="0" w:space="0" w:color="auto"/>
        <w:left w:val="none" w:sz="0" w:space="0" w:color="auto"/>
        <w:bottom w:val="none" w:sz="0" w:space="0" w:color="auto"/>
        <w:right w:val="none" w:sz="0" w:space="0" w:color="auto"/>
      </w:divBdr>
    </w:div>
    <w:div w:id="1677801453">
      <w:bodyDiv w:val="1"/>
      <w:marLeft w:val="0"/>
      <w:marRight w:val="0"/>
      <w:marTop w:val="0"/>
      <w:marBottom w:val="0"/>
      <w:divBdr>
        <w:top w:val="none" w:sz="0" w:space="0" w:color="auto"/>
        <w:left w:val="none" w:sz="0" w:space="0" w:color="auto"/>
        <w:bottom w:val="none" w:sz="0" w:space="0" w:color="auto"/>
        <w:right w:val="none" w:sz="0" w:space="0" w:color="auto"/>
      </w:divBdr>
    </w:div>
    <w:div w:id="1685936051">
      <w:bodyDiv w:val="1"/>
      <w:marLeft w:val="0"/>
      <w:marRight w:val="0"/>
      <w:marTop w:val="0"/>
      <w:marBottom w:val="0"/>
      <w:divBdr>
        <w:top w:val="none" w:sz="0" w:space="0" w:color="auto"/>
        <w:left w:val="none" w:sz="0" w:space="0" w:color="auto"/>
        <w:bottom w:val="none" w:sz="0" w:space="0" w:color="auto"/>
        <w:right w:val="none" w:sz="0" w:space="0" w:color="auto"/>
      </w:divBdr>
    </w:div>
    <w:div w:id="1689939416">
      <w:bodyDiv w:val="1"/>
      <w:marLeft w:val="0"/>
      <w:marRight w:val="0"/>
      <w:marTop w:val="0"/>
      <w:marBottom w:val="0"/>
      <w:divBdr>
        <w:top w:val="none" w:sz="0" w:space="0" w:color="auto"/>
        <w:left w:val="none" w:sz="0" w:space="0" w:color="auto"/>
        <w:bottom w:val="none" w:sz="0" w:space="0" w:color="auto"/>
        <w:right w:val="none" w:sz="0" w:space="0" w:color="auto"/>
      </w:divBdr>
    </w:div>
    <w:div w:id="1693652423">
      <w:bodyDiv w:val="1"/>
      <w:marLeft w:val="0"/>
      <w:marRight w:val="0"/>
      <w:marTop w:val="0"/>
      <w:marBottom w:val="0"/>
      <w:divBdr>
        <w:top w:val="none" w:sz="0" w:space="0" w:color="auto"/>
        <w:left w:val="none" w:sz="0" w:space="0" w:color="auto"/>
        <w:bottom w:val="none" w:sz="0" w:space="0" w:color="auto"/>
        <w:right w:val="none" w:sz="0" w:space="0" w:color="auto"/>
      </w:divBdr>
    </w:div>
    <w:div w:id="1697802490">
      <w:bodyDiv w:val="1"/>
      <w:marLeft w:val="0"/>
      <w:marRight w:val="0"/>
      <w:marTop w:val="0"/>
      <w:marBottom w:val="0"/>
      <w:divBdr>
        <w:top w:val="none" w:sz="0" w:space="0" w:color="auto"/>
        <w:left w:val="none" w:sz="0" w:space="0" w:color="auto"/>
        <w:bottom w:val="none" w:sz="0" w:space="0" w:color="auto"/>
        <w:right w:val="none" w:sz="0" w:space="0" w:color="auto"/>
      </w:divBdr>
    </w:div>
    <w:div w:id="1698265286">
      <w:bodyDiv w:val="1"/>
      <w:marLeft w:val="0"/>
      <w:marRight w:val="0"/>
      <w:marTop w:val="0"/>
      <w:marBottom w:val="0"/>
      <w:divBdr>
        <w:top w:val="none" w:sz="0" w:space="0" w:color="auto"/>
        <w:left w:val="none" w:sz="0" w:space="0" w:color="auto"/>
        <w:bottom w:val="none" w:sz="0" w:space="0" w:color="auto"/>
        <w:right w:val="none" w:sz="0" w:space="0" w:color="auto"/>
      </w:divBdr>
    </w:div>
    <w:div w:id="1699895164">
      <w:bodyDiv w:val="1"/>
      <w:marLeft w:val="0"/>
      <w:marRight w:val="0"/>
      <w:marTop w:val="0"/>
      <w:marBottom w:val="0"/>
      <w:divBdr>
        <w:top w:val="none" w:sz="0" w:space="0" w:color="auto"/>
        <w:left w:val="none" w:sz="0" w:space="0" w:color="auto"/>
        <w:bottom w:val="none" w:sz="0" w:space="0" w:color="auto"/>
        <w:right w:val="none" w:sz="0" w:space="0" w:color="auto"/>
      </w:divBdr>
    </w:div>
    <w:div w:id="1700466485">
      <w:bodyDiv w:val="1"/>
      <w:marLeft w:val="0"/>
      <w:marRight w:val="0"/>
      <w:marTop w:val="0"/>
      <w:marBottom w:val="0"/>
      <w:divBdr>
        <w:top w:val="none" w:sz="0" w:space="0" w:color="auto"/>
        <w:left w:val="none" w:sz="0" w:space="0" w:color="auto"/>
        <w:bottom w:val="none" w:sz="0" w:space="0" w:color="auto"/>
        <w:right w:val="none" w:sz="0" w:space="0" w:color="auto"/>
      </w:divBdr>
    </w:div>
    <w:div w:id="1707412283">
      <w:bodyDiv w:val="1"/>
      <w:marLeft w:val="0"/>
      <w:marRight w:val="0"/>
      <w:marTop w:val="0"/>
      <w:marBottom w:val="0"/>
      <w:divBdr>
        <w:top w:val="none" w:sz="0" w:space="0" w:color="auto"/>
        <w:left w:val="none" w:sz="0" w:space="0" w:color="auto"/>
        <w:bottom w:val="none" w:sz="0" w:space="0" w:color="auto"/>
        <w:right w:val="none" w:sz="0" w:space="0" w:color="auto"/>
      </w:divBdr>
    </w:div>
    <w:div w:id="1720738951">
      <w:bodyDiv w:val="1"/>
      <w:marLeft w:val="0"/>
      <w:marRight w:val="0"/>
      <w:marTop w:val="0"/>
      <w:marBottom w:val="0"/>
      <w:divBdr>
        <w:top w:val="none" w:sz="0" w:space="0" w:color="auto"/>
        <w:left w:val="none" w:sz="0" w:space="0" w:color="auto"/>
        <w:bottom w:val="none" w:sz="0" w:space="0" w:color="auto"/>
        <w:right w:val="none" w:sz="0" w:space="0" w:color="auto"/>
      </w:divBdr>
    </w:div>
    <w:div w:id="1722054578">
      <w:bodyDiv w:val="1"/>
      <w:marLeft w:val="0"/>
      <w:marRight w:val="0"/>
      <w:marTop w:val="0"/>
      <w:marBottom w:val="0"/>
      <w:divBdr>
        <w:top w:val="none" w:sz="0" w:space="0" w:color="auto"/>
        <w:left w:val="none" w:sz="0" w:space="0" w:color="auto"/>
        <w:bottom w:val="none" w:sz="0" w:space="0" w:color="auto"/>
        <w:right w:val="none" w:sz="0" w:space="0" w:color="auto"/>
      </w:divBdr>
    </w:div>
    <w:div w:id="1722485535">
      <w:bodyDiv w:val="1"/>
      <w:marLeft w:val="0"/>
      <w:marRight w:val="0"/>
      <w:marTop w:val="0"/>
      <w:marBottom w:val="0"/>
      <w:divBdr>
        <w:top w:val="none" w:sz="0" w:space="0" w:color="auto"/>
        <w:left w:val="none" w:sz="0" w:space="0" w:color="auto"/>
        <w:bottom w:val="none" w:sz="0" w:space="0" w:color="auto"/>
        <w:right w:val="none" w:sz="0" w:space="0" w:color="auto"/>
      </w:divBdr>
    </w:div>
    <w:div w:id="1731077693">
      <w:bodyDiv w:val="1"/>
      <w:marLeft w:val="0"/>
      <w:marRight w:val="0"/>
      <w:marTop w:val="0"/>
      <w:marBottom w:val="0"/>
      <w:divBdr>
        <w:top w:val="none" w:sz="0" w:space="0" w:color="auto"/>
        <w:left w:val="none" w:sz="0" w:space="0" w:color="auto"/>
        <w:bottom w:val="none" w:sz="0" w:space="0" w:color="auto"/>
        <w:right w:val="none" w:sz="0" w:space="0" w:color="auto"/>
      </w:divBdr>
    </w:div>
    <w:div w:id="1731802451">
      <w:bodyDiv w:val="1"/>
      <w:marLeft w:val="0"/>
      <w:marRight w:val="0"/>
      <w:marTop w:val="0"/>
      <w:marBottom w:val="0"/>
      <w:divBdr>
        <w:top w:val="none" w:sz="0" w:space="0" w:color="auto"/>
        <w:left w:val="none" w:sz="0" w:space="0" w:color="auto"/>
        <w:bottom w:val="none" w:sz="0" w:space="0" w:color="auto"/>
        <w:right w:val="none" w:sz="0" w:space="0" w:color="auto"/>
      </w:divBdr>
    </w:div>
    <w:div w:id="1736583304">
      <w:bodyDiv w:val="1"/>
      <w:marLeft w:val="0"/>
      <w:marRight w:val="0"/>
      <w:marTop w:val="0"/>
      <w:marBottom w:val="0"/>
      <w:divBdr>
        <w:top w:val="none" w:sz="0" w:space="0" w:color="auto"/>
        <w:left w:val="none" w:sz="0" w:space="0" w:color="auto"/>
        <w:bottom w:val="none" w:sz="0" w:space="0" w:color="auto"/>
        <w:right w:val="none" w:sz="0" w:space="0" w:color="auto"/>
      </w:divBdr>
    </w:div>
    <w:div w:id="1744374406">
      <w:bodyDiv w:val="1"/>
      <w:marLeft w:val="0"/>
      <w:marRight w:val="0"/>
      <w:marTop w:val="0"/>
      <w:marBottom w:val="0"/>
      <w:divBdr>
        <w:top w:val="none" w:sz="0" w:space="0" w:color="auto"/>
        <w:left w:val="none" w:sz="0" w:space="0" w:color="auto"/>
        <w:bottom w:val="none" w:sz="0" w:space="0" w:color="auto"/>
        <w:right w:val="none" w:sz="0" w:space="0" w:color="auto"/>
      </w:divBdr>
    </w:div>
    <w:div w:id="1747915858">
      <w:bodyDiv w:val="1"/>
      <w:marLeft w:val="0"/>
      <w:marRight w:val="0"/>
      <w:marTop w:val="0"/>
      <w:marBottom w:val="0"/>
      <w:divBdr>
        <w:top w:val="none" w:sz="0" w:space="0" w:color="auto"/>
        <w:left w:val="none" w:sz="0" w:space="0" w:color="auto"/>
        <w:bottom w:val="none" w:sz="0" w:space="0" w:color="auto"/>
        <w:right w:val="none" w:sz="0" w:space="0" w:color="auto"/>
      </w:divBdr>
      <w:divsChild>
        <w:div w:id="1434787441">
          <w:marLeft w:val="0"/>
          <w:marRight w:val="0"/>
          <w:marTop w:val="0"/>
          <w:marBottom w:val="0"/>
          <w:divBdr>
            <w:top w:val="none" w:sz="0" w:space="0" w:color="auto"/>
            <w:left w:val="none" w:sz="0" w:space="0" w:color="auto"/>
            <w:bottom w:val="none" w:sz="0" w:space="0" w:color="auto"/>
            <w:right w:val="none" w:sz="0" w:space="0" w:color="auto"/>
          </w:divBdr>
        </w:div>
        <w:div w:id="1490249738">
          <w:marLeft w:val="0"/>
          <w:marRight w:val="0"/>
          <w:marTop w:val="0"/>
          <w:marBottom w:val="0"/>
          <w:divBdr>
            <w:top w:val="none" w:sz="0" w:space="0" w:color="auto"/>
            <w:left w:val="none" w:sz="0" w:space="0" w:color="auto"/>
            <w:bottom w:val="none" w:sz="0" w:space="0" w:color="auto"/>
            <w:right w:val="none" w:sz="0" w:space="0" w:color="auto"/>
          </w:divBdr>
        </w:div>
        <w:div w:id="1655144342">
          <w:marLeft w:val="0"/>
          <w:marRight w:val="0"/>
          <w:marTop w:val="0"/>
          <w:marBottom w:val="0"/>
          <w:divBdr>
            <w:top w:val="none" w:sz="0" w:space="0" w:color="auto"/>
            <w:left w:val="none" w:sz="0" w:space="0" w:color="auto"/>
            <w:bottom w:val="none" w:sz="0" w:space="0" w:color="auto"/>
            <w:right w:val="none" w:sz="0" w:space="0" w:color="auto"/>
          </w:divBdr>
        </w:div>
        <w:div w:id="1426344650">
          <w:marLeft w:val="720"/>
          <w:marRight w:val="0"/>
          <w:marTop w:val="0"/>
          <w:marBottom w:val="0"/>
          <w:divBdr>
            <w:top w:val="none" w:sz="0" w:space="0" w:color="auto"/>
            <w:left w:val="none" w:sz="0" w:space="0" w:color="auto"/>
            <w:bottom w:val="none" w:sz="0" w:space="0" w:color="auto"/>
            <w:right w:val="none" w:sz="0" w:space="0" w:color="auto"/>
          </w:divBdr>
        </w:div>
        <w:div w:id="1475682444">
          <w:marLeft w:val="720"/>
          <w:marRight w:val="0"/>
          <w:marTop w:val="0"/>
          <w:marBottom w:val="0"/>
          <w:divBdr>
            <w:top w:val="none" w:sz="0" w:space="0" w:color="auto"/>
            <w:left w:val="none" w:sz="0" w:space="0" w:color="auto"/>
            <w:bottom w:val="none" w:sz="0" w:space="0" w:color="auto"/>
            <w:right w:val="none" w:sz="0" w:space="0" w:color="auto"/>
          </w:divBdr>
        </w:div>
        <w:div w:id="703020522">
          <w:marLeft w:val="720"/>
          <w:marRight w:val="0"/>
          <w:marTop w:val="0"/>
          <w:marBottom w:val="0"/>
          <w:divBdr>
            <w:top w:val="none" w:sz="0" w:space="0" w:color="auto"/>
            <w:left w:val="none" w:sz="0" w:space="0" w:color="auto"/>
            <w:bottom w:val="none" w:sz="0" w:space="0" w:color="auto"/>
            <w:right w:val="none" w:sz="0" w:space="0" w:color="auto"/>
          </w:divBdr>
        </w:div>
        <w:div w:id="1594437599">
          <w:marLeft w:val="0"/>
          <w:marRight w:val="0"/>
          <w:marTop w:val="0"/>
          <w:marBottom w:val="0"/>
          <w:divBdr>
            <w:top w:val="none" w:sz="0" w:space="0" w:color="auto"/>
            <w:left w:val="none" w:sz="0" w:space="0" w:color="auto"/>
            <w:bottom w:val="none" w:sz="0" w:space="0" w:color="auto"/>
            <w:right w:val="none" w:sz="0" w:space="0" w:color="auto"/>
          </w:divBdr>
        </w:div>
        <w:div w:id="421490003">
          <w:marLeft w:val="0"/>
          <w:marRight w:val="0"/>
          <w:marTop w:val="0"/>
          <w:marBottom w:val="0"/>
          <w:divBdr>
            <w:top w:val="none" w:sz="0" w:space="0" w:color="auto"/>
            <w:left w:val="none" w:sz="0" w:space="0" w:color="auto"/>
            <w:bottom w:val="none" w:sz="0" w:space="0" w:color="auto"/>
            <w:right w:val="none" w:sz="0" w:space="0" w:color="auto"/>
          </w:divBdr>
        </w:div>
        <w:div w:id="940454787">
          <w:marLeft w:val="0"/>
          <w:marRight w:val="0"/>
          <w:marTop w:val="0"/>
          <w:marBottom w:val="0"/>
          <w:divBdr>
            <w:top w:val="none" w:sz="0" w:space="0" w:color="auto"/>
            <w:left w:val="none" w:sz="0" w:space="0" w:color="auto"/>
            <w:bottom w:val="none" w:sz="0" w:space="0" w:color="auto"/>
            <w:right w:val="none" w:sz="0" w:space="0" w:color="auto"/>
          </w:divBdr>
        </w:div>
        <w:div w:id="1108236877">
          <w:marLeft w:val="0"/>
          <w:marRight w:val="0"/>
          <w:marTop w:val="0"/>
          <w:marBottom w:val="0"/>
          <w:divBdr>
            <w:top w:val="none" w:sz="0" w:space="0" w:color="auto"/>
            <w:left w:val="none" w:sz="0" w:space="0" w:color="auto"/>
            <w:bottom w:val="none" w:sz="0" w:space="0" w:color="auto"/>
            <w:right w:val="none" w:sz="0" w:space="0" w:color="auto"/>
          </w:divBdr>
        </w:div>
        <w:div w:id="1784953718">
          <w:marLeft w:val="0"/>
          <w:marRight w:val="0"/>
          <w:marTop w:val="0"/>
          <w:marBottom w:val="0"/>
          <w:divBdr>
            <w:top w:val="none" w:sz="0" w:space="0" w:color="auto"/>
            <w:left w:val="none" w:sz="0" w:space="0" w:color="auto"/>
            <w:bottom w:val="none" w:sz="0" w:space="0" w:color="auto"/>
            <w:right w:val="none" w:sz="0" w:space="0" w:color="auto"/>
          </w:divBdr>
        </w:div>
        <w:div w:id="613639478">
          <w:marLeft w:val="0"/>
          <w:marRight w:val="0"/>
          <w:marTop w:val="0"/>
          <w:marBottom w:val="0"/>
          <w:divBdr>
            <w:top w:val="none" w:sz="0" w:space="0" w:color="auto"/>
            <w:left w:val="none" w:sz="0" w:space="0" w:color="auto"/>
            <w:bottom w:val="none" w:sz="0" w:space="0" w:color="auto"/>
            <w:right w:val="none" w:sz="0" w:space="0" w:color="auto"/>
          </w:divBdr>
        </w:div>
      </w:divsChild>
    </w:div>
    <w:div w:id="1751612643">
      <w:bodyDiv w:val="1"/>
      <w:marLeft w:val="0"/>
      <w:marRight w:val="0"/>
      <w:marTop w:val="0"/>
      <w:marBottom w:val="0"/>
      <w:divBdr>
        <w:top w:val="none" w:sz="0" w:space="0" w:color="auto"/>
        <w:left w:val="none" w:sz="0" w:space="0" w:color="auto"/>
        <w:bottom w:val="none" w:sz="0" w:space="0" w:color="auto"/>
        <w:right w:val="none" w:sz="0" w:space="0" w:color="auto"/>
      </w:divBdr>
    </w:div>
    <w:div w:id="1762331749">
      <w:bodyDiv w:val="1"/>
      <w:marLeft w:val="0"/>
      <w:marRight w:val="0"/>
      <w:marTop w:val="0"/>
      <w:marBottom w:val="0"/>
      <w:divBdr>
        <w:top w:val="none" w:sz="0" w:space="0" w:color="auto"/>
        <w:left w:val="none" w:sz="0" w:space="0" w:color="auto"/>
        <w:bottom w:val="none" w:sz="0" w:space="0" w:color="auto"/>
        <w:right w:val="none" w:sz="0" w:space="0" w:color="auto"/>
      </w:divBdr>
    </w:div>
    <w:div w:id="1769543424">
      <w:bodyDiv w:val="1"/>
      <w:marLeft w:val="0"/>
      <w:marRight w:val="0"/>
      <w:marTop w:val="0"/>
      <w:marBottom w:val="0"/>
      <w:divBdr>
        <w:top w:val="none" w:sz="0" w:space="0" w:color="auto"/>
        <w:left w:val="none" w:sz="0" w:space="0" w:color="auto"/>
        <w:bottom w:val="none" w:sz="0" w:space="0" w:color="auto"/>
        <w:right w:val="none" w:sz="0" w:space="0" w:color="auto"/>
      </w:divBdr>
    </w:div>
    <w:div w:id="1779250514">
      <w:bodyDiv w:val="1"/>
      <w:marLeft w:val="0"/>
      <w:marRight w:val="0"/>
      <w:marTop w:val="0"/>
      <w:marBottom w:val="0"/>
      <w:divBdr>
        <w:top w:val="none" w:sz="0" w:space="0" w:color="auto"/>
        <w:left w:val="none" w:sz="0" w:space="0" w:color="auto"/>
        <w:bottom w:val="none" w:sz="0" w:space="0" w:color="auto"/>
        <w:right w:val="none" w:sz="0" w:space="0" w:color="auto"/>
      </w:divBdr>
    </w:div>
    <w:div w:id="1783108156">
      <w:bodyDiv w:val="1"/>
      <w:marLeft w:val="0"/>
      <w:marRight w:val="0"/>
      <w:marTop w:val="0"/>
      <w:marBottom w:val="0"/>
      <w:divBdr>
        <w:top w:val="none" w:sz="0" w:space="0" w:color="auto"/>
        <w:left w:val="none" w:sz="0" w:space="0" w:color="auto"/>
        <w:bottom w:val="none" w:sz="0" w:space="0" w:color="auto"/>
        <w:right w:val="none" w:sz="0" w:space="0" w:color="auto"/>
      </w:divBdr>
    </w:div>
    <w:div w:id="1784183881">
      <w:bodyDiv w:val="1"/>
      <w:marLeft w:val="0"/>
      <w:marRight w:val="0"/>
      <w:marTop w:val="0"/>
      <w:marBottom w:val="0"/>
      <w:divBdr>
        <w:top w:val="none" w:sz="0" w:space="0" w:color="auto"/>
        <w:left w:val="none" w:sz="0" w:space="0" w:color="auto"/>
        <w:bottom w:val="none" w:sz="0" w:space="0" w:color="auto"/>
        <w:right w:val="none" w:sz="0" w:space="0" w:color="auto"/>
      </w:divBdr>
    </w:div>
    <w:div w:id="1792936813">
      <w:bodyDiv w:val="1"/>
      <w:marLeft w:val="0"/>
      <w:marRight w:val="0"/>
      <w:marTop w:val="0"/>
      <w:marBottom w:val="0"/>
      <w:divBdr>
        <w:top w:val="none" w:sz="0" w:space="0" w:color="auto"/>
        <w:left w:val="none" w:sz="0" w:space="0" w:color="auto"/>
        <w:bottom w:val="none" w:sz="0" w:space="0" w:color="auto"/>
        <w:right w:val="none" w:sz="0" w:space="0" w:color="auto"/>
      </w:divBdr>
    </w:div>
    <w:div w:id="1800416491">
      <w:bodyDiv w:val="1"/>
      <w:marLeft w:val="0"/>
      <w:marRight w:val="0"/>
      <w:marTop w:val="0"/>
      <w:marBottom w:val="0"/>
      <w:divBdr>
        <w:top w:val="none" w:sz="0" w:space="0" w:color="auto"/>
        <w:left w:val="none" w:sz="0" w:space="0" w:color="auto"/>
        <w:bottom w:val="none" w:sz="0" w:space="0" w:color="auto"/>
        <w:right w:val="none" w:sz="0" w:space="0" w:color="auto"/>
      </w:divBdr>
    </w:div>
    <w:div w:id="1808090083">
      <w:bodyDiv w:val="1"/>
      <w:marLeft w:val="0"/>
      <w:marRight w:val="0"/>
      <w:marTop w:val="0"/>
      <w:marBottom w:val="0"/>
      <w:divBdr>
        <w:top w:val="none" w:sz="0" w:space="0" w:color="auto"/>
        <w:left w:val="none" w:sz="0" w:space="0" w:color="auto"/>
        <w:bottom w:val="none" w:sz="0" w:space="0" w:color="auto"/>
        <w:right w:val="none" w:sz="0" w:space="0" w:color="auto"/>
      </w:divBdr>
    </w:div>
    <w:div w:id="1809935061">
      <w:bodyDiv w:val="1"/>
      <w:marLeft w:val="0"/>
      <w:marRight w:val="0"/>
      <w:marTop w:val="0"/>
      <w:marBottom w:val="0"/>
      <w:divBdr>
        <w:top w:val="none" w:sz="0" w:space="0" w:color="auto"/>
        <w:left w:val="none" w:sz="0" w:space="0" w:color="auto"/>
        <w:bottom w:val="none" w:sz="0" w:space="0" w:color="auto"/>
        <w:right w:val="none" w:sz="0" w:space="0" w:color="auto"/>
      </w:divBdr>
    </w:div>
    <w:div w:id="1813791419">
      <w:bodyDiv w:val="1"/>
      <w:marLeft w:val="0"/>
      <w:marRight w:val="0"/>
      <w:marTop w:val="0"/>
      <w:marBottom w:val="0"/>
      <w:divBdr>
        <w:top w:val="none" w:sz="0" w:space="0" w:color="auto"/>
        <w:left w:val="none" w:sz="0" w:space="0" w:color="auto"/>
        <w:bottom w:val="none" w:sz="0" w:space="0" w:color="auto"/>
        <w:right w:val="none" w:sz="0" w:space="0" w:color="auto"/>
      </w:divBdr>
      <w:divsChild>
        <w:div w:id="385763669">
          <w:marLeft w:val="0"/>
          <w:marRight w:val="0"/>
          <w:marTop w:val="0"/>
          <w:marBottom w:val="0"/>
          <w:divBdr>
            <w:top w:val="none" w:sz="0" w:space="0" w:color="auto"/>
            <w:left w:val="none" w:sz="0" w:space="0" w:color="auto"/>
            <w:bottom w:val="none" w:sz="0" w:space="0" w:color="auto"/>
            <w:right w:val="none" w:sz="0" w:space="0" w:color="auto"/>
          </w:divBdr>
          <w:divsChild>
            <w:div w:id="1813599612">
              <w:marLeft w:val="0"/>
              <w:marRight w:val="0"/>
              <w:marTop w:val="0"/>
              <w:marBottom w:val="0"/>
              <w:divBdr>
                <w:top w:val="none" w:sz="0" w:space="0" w:color="auto"/>
                <w:left w:val="none" w:sz="0" w:space="0" w:color="auto"/>
                <w:bottom w:val="none" w:sz="0" w:space="0" w:color="auto"/>
                <w:right w:val="none" w:sz="0" w:space="0" w:color="auto"/>
              </w:divBdr>
              <w:divsChild>
                <w:div w:id="2091581456">
                  <w:marLeft w:val="0"/>
                  <w:marRight w:val="0"/>
                  <w:marTop w:val="0"/>
                  <w:marBottom w:val="0"/>
                  <w:divBdr>
                    <w:top w:val="none" w:sz="0" w:space="0" w:color="auto"/>
                    <w:left w:val="none" w:sz="0" w:space="0" w:color="auto"/>
                    <w:bottom w:val="none" w:sz="0" w:space="0" w:color="auto"/>
                    <w:right w:val="none" w:sz="0" w:space="0" w:color="auto"/>
                  </w:divBdr>
                  <w:divsChild>
                    <w:div w:id="166680695">
                      <w:marLeft w:val="0"/>
                      <w:marRight w:val="0"/>
                      <w:marTop w:val="0"/>
                      <w:marBottom w:val="0"/>
                      <w:divBdr>
                        <w:top w:val="none" w:sz="0" w:space="0" w:color="auto"/>
                        <w:left w:val="none" w:sz="0" w:space="0" w:color="auto"/>
                        <w:bottom w:val="none" w:sz="0" w:space="0" w:color="auto"/>
                        <w:right w:val="none" w:sz="0" w:space="0" w:color="auto"/>
                      </w:divBdr>
                      <w:divsChild>
                        <w:div w:id="217937592">
                          <w:marLeft w:val="405"/>
                          <w:marRight w:val="0"/>
                          <w:marTop w:val="0"/>
                          <w:marBottom w:val="0"/>
                          <w:divBdr>
                            <w:top w:val="none" w:sz="0" w:space="0" w:color="auto"/>
                            <w:left w:val="none" w:sz="0" w:space="0" w:color="auto"/>
                            <w:bottom w:val="none" w:sz="0" w:space="0" w:color="auto"/>
                            <w:right w:val="none" w:sz="0" w:space="0" w:color="auto"/>
                          </w:divBdr>
                          <w:divsChild>
                            <w:div w:id="1598054404">
                              <w:marLeft w:val="0"/>
                              <w:marRight w:val="0"/>
                              <w:marTop w:val="0"/>
                              <w:marBottom w:val="0"/>
                              <w:divBdr>
                                <w:top w:val="none" w:sz="0" w:space="0" w:color="auto"/>
                                <w:left w:val="none" w:sz="0" w:space="0" w:color="auto"/>
                                <w:bottom w:val="none" w:sz="0" w:space="0" w:color="auto"/>
                                <w:right w:val="none" w:sz="0" w:space="0" w:color="auto"/>
                              </w:divBdr>
                              <w:divsChild>
                                <w:div w:id="1691299752">
                                  <w:marLeft w:val="0"/>
                                  <w:marRight w:val="0"/>
                                  <w:marTop w:val="0"/>
                                  <w:marBottom w:val="0"/>
                                  <w:divBdr>
                                    <w:top w:val="none" w:sz="0" w:space="0" w:color="auto"/>
                                    <w:left w:val="none" w:sz="0" w:space="0" w:color="auto"/>
                                    <w:bottom w:val="none" w:sz="0" w:space="0" w:color="auto"/>
                                    <w:right w:val="none" w:sz="0" w:space="0" w:color="auto"/>
                                  </w:divBdr>
                                  <w:divsChild>
                                    <w:div w:id="359935752">
                                      <w:marLeft w:val="0"/>
                                      <w:marRight w:val="0"/>
                                      <w:marTop w:val="60"/>
                                      <w:marBottom w:val="0"/>
                                      <w:divBdr>
                                        <w:top w:val="none" w:sz="0" w:space="0" w:color="auto"/>
                                        <w:left w:val="none" w:sz="0" w:space="0" w:color="auto"/>
                                        <w:bottom w:val="none" w:sz="0" w:space="0" w:color="auto"/>
                                        <w:right w:val="none" w:sz="0" w:space="0" w:color="auto"/>
                                      </w:divBdr>
                                      <w:divsChild>
                                        <w:div w:id="1981764050">
                                          <w:marLeft w:val="0"/>
                                          <w:marRight w:val="0"/>
                                          <w:marTop w:val="0"/>
                                          <w:marBottom w:val="0"/>
                                          <w:divBdr>
                                            <w:top w:val="none" w:sz="0" w:space="0" w:color="auto"/>
                                            <w:left w:val="none" w:sz="0" w:space="0" w:color="auto"/>
                                            <w:bottom w:val="none" w:sz="0" w:space="0" w:color="auto"/>
                                            <w:right w:val="none" w:sz="0" w:space="0" w:color="auto"/>
                                          </w:divBdr>
                                          <w:divsChild>
                                            <w:div w:id="1282688315">
                                              <w:marLeft w:val="0"/>
                                              <w:marRight w:val="0"/>
                                              <w:marTop w:val="0"/>
                                              <w:marBottom w:val="0"/>
                                              <w:divBdr>
                                                <w:top w:val="none" w:sz="0" w:space="0" w:color="auto"/>
                                                <w:left w:val="none" w:sz="0" w:space="0" w:color="auto"/>
                                                <w:bottom w:val="none" w:sz="0" w:space="0" w:color="auto"/>
                                                <w:right w:val="none" w:sz="0" w:space="0" w:color="auto"/>
                                              </w:divBdr>
                                              <w:divsChild>
                                                <w:div w:id="1737586495">
                                                  <w:marLeft w:val="0"/>
                                                  <w:marRight w:val="0"/>
                                                  <w:marTop w:val="0"/>
                                                  <w:marBottom w:val="0"/>
                                                  <w:divBdr>
                                                    <w:top w:val="none" w:sz="0" w:space="0" w:color="auto"/>
                                                    <w:left w:val="none" w:sz="0" w:space="0" w:color="auto"/>
                                                    <w:bottom w:val="none" w:sz="0" w:space="0" w:color="auto"/>
                                                    <w:right w:val="none" w:sz="0" w:space="0" w:color="auto"/>
                                                  </w:divBdr>
                                                  <w:divsChild>
                                                    <w:div w:id="1398287219">
                                                      <w:marLeft w:val="0"/>
                                                      <w:marRight w:val="0"/>
                                                      <w:marTop w:val="0"/>
                                                      <w:marBottom w:val="0"/>
                                                      <w:divBdr>
                                                        <w:top w:val="none" w:sz="0" w:space="0" w:color="auto"/>
                                                        <w:left w:val="none" w:sz="0" w:space="0" w:color="auto"/>
                                                        <w:bottom w:val="none" w:sz="0" w:space="0" w:color="auto"/>
                                                        <w:right w:val="none" w:sz="0" w:space="0" w:color="auto"/>
                                                      </w:divBdr>
                                                      <w:divsChild>
                                                        <w:div w:id="654381950">
                                                          <w:marLeft w:val="0"/>
                                                          <w:marRight w:val="0"/>
                                                          <w:marTop w:val="0"/>
                                                          <w:marBottom w:val="0"/>
                                                          <w:divBdr>
                                                            <w:top w:val="none" w:sz="0" w:space="0" w:color="auto"/>
                                                            <w:left w:val="none" w:sz="0" w:space="0" w:color="auto"/>
                                                            <w:bottom w:val="none" w:sz="0" w:space="0" w:color="auto"/>
                                                            <w:right w:val="none" w:sz="0" w:space="0" w:color="auto"/>
                                                          </w:divBdr>
                                                          <w:divsChild>
                                                            <w:div w:id="712191711">
                                                              <w:marLeft w:val="0"/>
                                                              <w:marRight w:val="0"/>
                                                              <w:marTop w:val="0"/>
                                                              <w:marBottom w:val="0"/>
                                                              <w:divBdr>
                                                                <w:top w:val="none" w:sz="0" w:space="0" w:color="auto"/>
                                                                <w:left w:val="none" w:sz="0" w:space="0" w:color="auto"/>
                                                                <w:bottom w:val="none" w:sz="0" w:space="0" w:color="auto"/>
                                                                <w:right w:val="none" w:sz="0" w:space="0" w:color="auto"/>
                                                              </w:divBdr>
                                                              <w:divsChild>
                                                                <w:div w:id="1161114645">
                                                                  <w:marLeft w:val="0"/>
                                                                  <w:marRight w:val="0"/>
                                                                  <w:marTop w:val="0"/>
                                                                  <w:marBottom w:val="0"/>
                                                                  <w:divBdr>
                                                                    <w:top w:val="none" w:sz="0" w:space="0" w:color="auto"/>
                                                                    <w:left w:val="none" w:sz="0" w:space="0" w:color="auto"/>
                                                                    <w:bottom w:val="none" w:sz="0" w:space="0" w:color="auto"/>
                                                                    <w:right w:val="none" w:sz="0" w:space="0" w:color="auto"/>
                                                                  </w:divBdr>
                                                                  <w:divsChild>
                                                                    <w:div w:id="7378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153985">
      <w:bodyDiv w:val="1"/>
      <w:marLeft w:val="0"/>
      <w:marRight w:val="0"/>
      <w:marTop w:val="0"/>
      <w:marBottom w:val="0"/>
      <w:divBdr>
        <w:top w:val="none" w:sz="0" w:space="0" w:color="auto"/>
        <w:left w:val="none" w:sz="0" w:space="0" w:color="auto"/>
        <w:bottom w:val="none" w:sz="0" w:space="0" w:color="auto"/>
        <w:right w:val="none" w:sz="0" w:space="0" w:color="auto"/>
      </w:divBdr>
      <w:divsChild>
        <w:div w:id="610402544">
          <w:marLeft w:val="0"/>
          <w:marRight w:val="0"/>
          <w:marTop w:val="0"/>
          <w:marBottom w:val="0"/>
          <w:divBdr>
            <w:top w:val="none" w:sz="0" w:space="0" w:color="auto"/>
            <w:left w:val="none" w:sz="0" w:space="0" w:color="auto"/>
            <w:bottom w:val="none" w:sz="0" w:space="0" w:color="auto"/>
            <w:right w:val="none" w:sz="0" w:space="0" w:color="auto"/>
          </w:divBdr>
        </w:div>
        <w:div w:id="630669249">
          <w:marLeft w:val="0"/>
          <w:marRight w:val="0"/>
          <w:marTop w:val="0"/>
          <w:marBottom w:val="0"/>
          <w:divBdr>
            <w:top w:val="none" w:sz="0" w:space="0" w:color="auto"/>
            <w:left w:val="none" w:sz="0" w:space="0" w:color="auto"/>
            <w:bottom w:val="none" w:sz="0" w:space="0" w:color="auto"/>
            <w:right w:val="none" w:sz="0" w:space="0" w:color="auto"/>
          </w:divBdr>
        </w:div>
        <w:div w:id="1595897205">
          <w:marLeft w:val="0"/>
          <w:marRight w:val="0"/>
          <w:marTop w:val="0"/>
          <w:marBottom w:val="0"/>
          <w:divBdr>
            <w:top w:val="none" w:sz="0" w:space="0" w:color="auto"/>
            <w:left w:val="none" w:sz="0" w:space="0" w:color="auto"/>
            <w:bottom w:val="none" w:sz="0" w:space="0" w:color="auto"/>
            <w:right w:val="none" w:sz="0" w:space="0" w:color="auto"/>
          </w:divBdr>
        </w:div>
      </w:divsChild>
    </w:div>
    <w:div w:id="1823505439">
      <w:bodyDiv w:val="1"/>
      <w:marLeft w:val="0"/>
      <w:marRight w:val="0"/>
      <w:marTop w:val="0"/>
      <w:marBottom w:val="0"/>
      <w:divBdr>
        <w:top w:val="none" w:sz="0" w:space="0" w:color="auto"/>
        <w:left w:val="none" w:sz="0" w:space="0" w:color="auto"/>
        <w:bottom w:val="none" w:sz="0" w:space="0" w:color="auto"/>
        <w:right w:val="none" w:sz="0" w:space="0" w:color="auto"/>
      </w:divBdr>
    </w:div>
    <w:div w:id="1827015084">
      <w:bodyDiv w:val="1"/>
      <w:marLeft w:val="0"/>
      <w:marRight w:val="0"/>
      <w:marTop w:val="0"/>
      <w:marBottom w:val="0"/>
      <w:divBdr>
        <w:top w:val="none" w:sz="0" w:space="0" w:color="auto"/>
        <w:left w:val="none" w:sz="0" w:space="0" w:color="auto"/>
        <w:bottom w:val="none" w:sz="0" w:space="0" w:color="auto"/>
        <w:right w:val="none" w:sz="0" w:space="0" w:color="auto"/>
      </w:divBdr>
    </w:div>
    <w:div w:id="1834638349">
      <w:bodyDiv w:val="1"/>
      <w:marLeft w:val="0"/>
      <w:marRight w:val="0"/>
      <w:marTop w:val="0"/>
      <w:marBottom w:val="0"/>
      <w:divBdr>
        <w:top w:val="none" w:sz="0" w:space="0" w:color="auto"/>
        <w:left w:val="none" w:sz="0" w:space="0" w:color="auto"/>
        <w:bottom w:val="none" w:sz="0" w:space="0" w:color="auto"/>
        <w:right w:val="none" w:sz="0" w:space="0" w:color="auto"/>
      </w:divBdr>
    </w:div>
    <w:div w:id="1850951555">
      <w:bodyDiv w:val="1"/>
      <w:marLeft w:val="0"/>
      <w:marRight w:val="0"/>
      <w:marTop w:val="0"/>
      <w:marBottom w:val="0"/>
      <w:divBdr>
        <w:top w:val="none" w:sz="0" w:space="0" w:color="auto"/>
        <w:left w:val="none" w:sz="0" w:space="0" w:color="auto"/>
        <w:bottom w:val="none" w:sz="0" w:space="0" w:color="auto"/>
        <w:right w:val="none" w:sz="0" w:space="0" w:color="auto"/>
      </w:divBdr>
    </w:div>
    <w:div w:id="1862433476">
      <w:bodyDiv w:val="1"/>
      <w:marLeft w:val="0"/>
      <w:marRight w:val="0"/>
      <w:marTop w:val="0"/>
      <w:marBottom w:val="0"/>
      <w:divBdr>
        <w:top w:val="none" w:sz="0" w:space="0" w:color="auto"/>
        <w:left w:val="none" w:sz="0" w:space="0" w:color="auto"/>
        <w:bottom w:val="none" w:sz="0" w:space="0" w:color="auto"/>
        <w:right w:val="none" w:sz="0" w:space="0" w:color="auto"/>
      </w:divBdr>
    </w:div>
    <w:div w:id="1864586882">
      <w:bodyDiv w:val="1"/>
      <w:marLeft w:val="0"/>
      <w:marRight w:val="0"/>
      <w:marTop w:val="0"/>
      <w:marBottom w:val="0"/>
      <w:divBdr>
        <w:top w:val="none" w:sz="0" w:space="0" w:color="auto"/>
        <w:left w:val="none" w:sz="0" w:space="0" w:color="auto"/>
        <w:bottom w:val="none" w:sz="0" w:space="0" w:color="auto"/>
        <w:right w:val="none" w:sz="0" w:space="0" w:color="auto"/>
      </w:divBdr>
    </w:div>
    <w:div w:id="1865973241">
      <w:bodyDiv w:val="1"/>
      <w:marLeft w:val="0"/>
      <w:marRight w:val="0"/>
      <w:marTop w:val="0"/>
      <w:marBottom w:val="0"/>
      <w:divBdr>
        <w:top w:val="none" w:sz="0" w:space="0" w:color="auto"/>
        <w:left w:val="none" w:sz="0" w:space="0" w:color="auto"/>
        <w:bottom w:val="none" w:sz="0" w:space="0" w:color="auto"/>
        <w:right w:val="none" w:sz="0" w:space="0" w:color="auto"/>
      </w:divBdr>
    </w:div>
    <w:div w:id="1866406127">
      <w:bodyDiv w:val="1"/>
      <w:marLeft w:val="0"/>
      <w:marRight w:val="0"/>
      <w:marTop w:val="0"/>
      <w:marBottom w:val="0"/>
      <w:divBdr>
        <w:top w:val="none" w:sz="0" w:space="0" w:color="auto"/>
        <w:left w:val="none" w:sz="0" w:space="0" w:color="auto"/>
        <w:bottom w:val="none" w:sz="0" w:space="0" w:color="auto"/>
        <w:right w:val="none" w:sz="0" w:space="0" w:color="auto"/>
      </w:divBdr>
    </w:div>
    <w:div w:id="1879317342">
      <w:bodyDiv w:val="1"/>
      <w:marLeft w:val="0"/>
      <w:marRight w:val="0"/>
      <w:marTop w:val="0"/>
      <w:marBottom w:val="0"/>
      <w:divBdr>
        <w:top w:val="none" w:sz="0" w:space="0" w:color="auto"/>
        <w:left w:val="none" w:sz="0" w:space="0" w:color="auto"/>
        <w:bottom w:val="none" w:sz="0" w:space="0" w:color="auto"/>
        <w:right w:val="none" w:sz="0" w:space="0" w:color="auto"/>
      </w:divBdr>
    </w:div>
    <w:div w:id="1880818442">
      <w:bodyDiv w:val="1"/>
      <w:marLeft w:val="0"/>
      <w:marRight w:val="0"/>
      <w:marTop w:val="0"/>
      <w:marBottom w:val="0"/>
      <w:divBdr>
        <w:top w:val="none" w:sz="0" w:space="0" w:color="auto"/>
        <w:left w:val="none" w:sz="0" w:space="0" w:color="auto"/>
        <w:bottom w:val="none" w:sz="0" w:space="0" w:color="auto"/>
        <w:right w:val="none" w:sz="0" w:space="0" w:color="auto"/>
      </w:divBdr>
    </w:div>
    <w:div w:id="1883327987">
      <w:bodyDiv w:val="1"/>
      <w:marLeft w:val="0"/>
      <w:marRight w:val="0"/>
      <w:marTop w:val="0"/>
      <w:marBottom w:val="0"/>
      <w:divBdr>
        <w:top w:val="none" w:sz="0" w:space="0" w:color="auto"/>
        <w:left w:val="none" w:sz="0" w:space="0" w:color="auto"/>
        <w:bottom w:val="none" w:sz="0" w:space="0" w:color="auto"/>
        <w:right w:val="none" w:sz="0" w:space="0" w:color="auto"/>
      </w:divBdr>
    </w:div>
    <w:div w:id="1891380884">
      <w:bodyDiv w:val="1"/>
      <w:marLeft w:val="0"/>
      <w:marRight w:val="0"/>
      <w:marTop w:val="0"/>
      <w:marBottom w:val="0"/>
      <w:divBdr>
        <w:top w:val="none" w:sz="0" w:space="0" w:color="auto"/>
        <w:left w:val="none" w:sz="0" w:space="0" w:color="auto"/>
        <w:bottom w:val="none" w:sz="0" w:space="0" w:color="auto"/>
        <w:right w:val="none" w:sz="0" w:space="0" w:color="auto"/>
      </w:divBdr>
    </w:div>
    <w:div w:id="1905215249">
      <w:bodyDiv w:val="1"/>
      <w:marLeft w:val="0"/>
      <w:marRight w:val="0"/>
      <w:marTop w:val="0"/>
      <w:marBottom w:val="0"/>
      <w:divBdr>
        <w:top w:val="none" w:sz="0" w:space="0" w:color="auto"/>
        <w:left w:val="none" w:sz="0" w:space="0" w:color="auto"/>
        <w:bottom w:val="none" w:sz="0" w:space="0" w:color="auto"/>
        <w:right w:val="none" w:sz="0" w:space="0" w:color="auto"/>
      </w:divBdr>
    </w:div>
    <w:div w:id="1914509857">
      <w:bodyDiv w:val="1"/>
      <w:marLeft w:val="0"/>
      <w:marRight w:val="0"/>
      <w:marTop w:val="0"/>
      <w:marBottom w:val="0"/>
      <w:divBdr>
        <w:top w:val="none" w:sz="0" w:space="0" w:color="auto"/>
        <w:left w:val="none" w:sz="0" w:space="0" w:color="auto"/>
        <w:bottom w:val="none" w:sz="0" w:space="0" w:color="auto"/>
        <w:right w:val="none" w:sz="0" w:space="0" w:color="auto"/>
      </w:divBdr>
    </w:div>
    <w:div w:id="1917127686">
      <w:bodyDiv w:val="1"/>
      <w:marLeft w:val="0"/>
      <w:marRight w:val="0"/>
      <w:marTop w:val="0"/>
      <w:marBottom w:val="0"/>
      <w:divBdr>
        <w:top w:val="none" w:sz="0" w:space="0" w:color="auto"/>
        <w:left w:val="none" w:sz="0" w:space="0" w:color="auto"/>
        <w:bottom w:val="none" w:sz="0" w:space="0" w:color="auto"/>
        <w:right w:val="none" w:sz="0" w:space="0" w:color="auto"/>
      </w:divBdr>
    </w:div>
    <w:div w:id="1917588544">
      <w:bodyDiv w:val="1"/>
      <w:marLeft w:val="0"/>
      <w:marRight w:val="0"/>
      <w:marTop w:val="0"/>
      <w:marBottom w:val="0"/>
      <w:divBdr>
        <w:top w:val="none" w:sz="0" w:space="0" w:color="auto"/>
        <w:left w:val="none" w:sz="0" w:space="0" w:color="auto"/>
        <w:bottom w:val="none" w:sz="0" w:space="0" w:color="auto"/>
        <w:right w:val="none" w:sz="0" w:space="0" w:color="auto"/>
      </w:divBdr>
    </w:div>
    <w:div w:id="1920211932">
      <w:bodyDiv w:val="1"/>
      <w:marLeft w:val="0"/>
      <w:marRight w:val="0"/>
      <w:marTop w:val="0"/>
      <w:marBottom w:val="0"/>
      <w:divBdr>
        <w:top w:val="none" w:sz="0" w:space="0" w:color="auto"/>
        <w:left w:val="none" w:sz="0" w:space="0" w:color="auto"/>
        <w:bottom w:val="none" w:sz="0" w:space="0" w:color="auto"/>
        <w:right w:val="none" w:sz="0" w:space="0" w:color="auto"/>
      </w:divBdr>
    </w:div>
    <w:div w:id="1928035906">
      <w:bodyDiv w:val="1"/>
      <w:marLeft w:val="0"/>
      <w:marRight w:val="0"/>
      <w:marTop w:val="0"/>
      <w:marBottom w:val="0"/>
      <w:divBdr>
        <w:top w:val="none" w:sz="0" w:space="0" w:color="auto"/>
        <w:left w:val="none" w:sz="0" w:space="0" w:color="auto"/>
        <w:bottom w:val="none" w:sz="0" w:space="0" w:color="auto"/>
        <w:right w:val="none" w:sz="0" w:space="0" w:color="auto"/>
      </w:divBdr>
    </w:div>
    <w:div w:id="1930000906">
      <w:bodyDiv w:val="1"/>
      <w:marLeft w:val="0"/>
      <w:marRight w:val="0"/>
      <w:marTop w:val="0"/>
      <w:marBottom w:val="0"/>
      <w:divBdr>
        <w:top w:val="none" w:sz="0" w:space="0" w:color="auto"/>
        <w:left w:val="none" w:sz="0" w:space="0" w:color="auto"/>
        <w:bottom w:val="none" w:sz="0" w:space="0" w:color="auto"/>
        <w:right w:val="none" w:sz="0" w:space="0" w:color="auto"/>
      </w:divBdr>
    </w:div>
    <w:div w:id="1956672251">
      <w:bodyDiv w:val="1"/>
      <w:marLeft w:val="0"/>
      <w:marRight w:val="0"/>
      <w:marTop w:val="0"/>
      <w:marBottom w:val="0"/>
      <w:divBdr>
        <w:top w:val="none" w:sz="0" w:space="0" w:color="auto"/>
        <w:left w:val="none" w:sz="0" w:space="0" w:color="auto"/>
        <w:bottom w:val="none" w:sz="0" w:space="0" w:color="auto"/>
        <w:right w:val="none" w:sz="0" w:space="0" w:color="auto"/>
      </w:divBdr>
    </w:div>
    <w:div w:id="1958827862">
      <w:bodyDiv w:val="1"/>
      <w:marLeft w:val="0"/>
      <w:marRight w:val="0"/>
      <w:marTop w:val="0"/>
      <w:marBottom w:val="0"/>
      <w:divBdr>
        <w:top w:val="none" w:sz="0" w:space="0" w:color="auto"/>
        <w:left w:val="none" w:sz="0" w:space="0" w:color="auto"/>
        <w:bottom w:val="none" w:sz="0" w:space="0" w:color="auto"/>
        <w:right w:val="none" w:sz="0" w:space="0" w:color="auto"/>
      </w:divBdr>
    </w:div>
    <w:div w:id="1961179388">
      <w:bodyDiv w:val="1"/>
      <w:marLeft w:val="0"/>
      <w:marRight w:val="0"/>
      <w:marTop w:val="0"/>
      <w:marBottom w:val="0"/>
      <w:divBdr>
        <w:top w:val="none" w:sz="0" w:space="0" w:color="auto"/>
        <w:left w:val="none" w:sz="0" w:space="0" w:color="auto"/>
        <w:bottom w:val="none" w:sz="0" w:space="0" w:color="auto"/>
        <w:right w:val="none" w:sz="0" w:space="0" w:color="auto"/>
      </w:divBdr>
    </w:div>
    <w:div w:id="1973831103">
      <w:bodyDiv w:val="1"/>
      <w:marLeft w:val="0"/>
      <w:marRight w:val="0"/>
      <w:marTop w:val="0"/>
      <w:marBottom w:val="0"/>
      <w:divBdr>
        <w:top w:val="none" w:sz="0" w:space="0" w:color="auto"/>
        <w:left w:val="none" w:sz="0" w:space="0" w:color="auto"/>
        <w:bottom w:val="none" w:sz="0" w:space="0" w:color="auto"/>
        <w:right w:val="none" w:sz="0" w:space="0" w:color="auto"/>
      </w:divBdr>
    </w:div>
    <w:div w:id="1974367101">
      <w:bodyDiv w:val="1"/>
      <w:marLeft w:val="0"/>
      <w:marRight w:val="0"/>
      <w:marTop w:val="0"/>
      <w:marBottom w:val="0"/>
      <w:divBdr>
        <w:top w:val="none" w:sz="0" w:space="0" w:color="auto"/>
        <w:left w:val="none" w:sz="0" w:space="0" w:color="auto"/>
        <w:bottom w:val="none" w:sz="0" w:space="0" w:color="auto"/>
        <w:right w:val="none" w:sz="0" w:space="0" w:color="auto"/>
      </w:divBdr>
    </w:div>
    <w:div w:id="1978874374">
      <w:bodyDiv w:val="1"/>
      <w:marLeft w:val="0"/>
      <w:marRight w:val="0"/>
      <w:marTop w:val="0"/>
      <w:marBottom w:val="0"/>
      <w:divBdr>
        <w:top w:val="none" w:sz="0" w:space="0" w:color="auto"/>
        <w:left w:val="none" w:sz="0" w:space="0" w:color="auto"/>
        <w:bottom w:val="none" w:sz="0" w:space="0" w:color="auto"/>
        <w:right w:val="none" w:sz="0" w:space="0" w:color="auto"/>
      </w:divBdr>
    </w:div>
    <w:div w:id="1984650173">
      <w:bodyDiv w:val="1"/>
      <w:marLeft w:val="0"/>
      <w:marRight w:val="0"/>
      <w:marTop w:val="0"/>
      <w:marBottom w:val="0"/>
      <w:divBdr>
        <w:top w:val="none" w:sz="0" w:space="0" w:color="auto"/>
        <w:left w:val="none" w:sz="0" w:space="0" w:color="auto"/>
        <w:bottom w:val="none" w:sz="0" w:space="0" w:color="auto"/>
        <w:right w:val="none" w:sz="0" w:space="0" w:color="auto"/>
      </w:divBdr>
    </w:div>
    <w:div w:id="1986356447">
      <w:bodyDiv w:val="1"/>
      <w:marLeft w:val="0"/>
      <w:marRight w:val="0"/>
      <w:marTop w:val="0"/>
      <w:marBottom w:val="0"/>
      <w:divBdr>
        <w:top w:val="none" w:sz="0" w:space="0" w:color="auto"/>
        <w:left w:val="none" w:sz="0" w:space="0" w:color="auto"/>
        <w:bottom w:val="none" w:sz="0" w:space="0" w:color="auto"/>
        <w:right w:val="none" w:sz="0" w:space="0" w:color="auto"/>
      </w:divBdr>
    </w:div>
    <w:div w:id="1990936960">
      <w:bodyDiv w:val="1"/>
      <w:marLeft w:val="0"/>
      <w:marRight w:val="0"/>
      <w:marTop w:val="0"/>
      <w:marBottom w:val="0"/>
      <w:divBdr>
        <w:top w:val="none" w:sz="0" w:space="0" w:color="auto"/>
        <w:left w:val="none" w:sz="0" w:space="0" w:color="auto"/>
        <w:bottom w:val="none" w:sz="0" w:space="0" w:color="auto"/>
        <w:right w:val="none" w:sz="0" w:space="0" w:color="auto"/>
      </w:divBdr>
    </w:div>
    <w:div w:id="2000038963">
      <w:bodyDiv w:val="1"/>
      <w:marLeft w:val="0"/>
      <w:marRight w:val="0"/>
      <w:marTop w:val="0"/>
      <w:marBottom w:val="0"/>
      <w:divBdr>
        <w:top w:val="none" w:sz="0" w:space="0" w:color="auto"/>
        <w:left w:val="none" w:sz="0" w:space="0" w:color="auto"/>
        <w:bottom w:val="none" w:sz="0" w:space="0" w:color="auto"/>
        <w:right w:val="none" w:sz="0" w:space="0" w:color="auto"/>
      </w:divBdr>
    </w:div>
    <w:div w:id="2000647018">
      <w:bodyDiv w:val="1"/>
      <w:marLeft w:val="0"/>
      <w:marRight w:val="0"/>
      <w:marTop w:val="0"/>
      <w:marBottom w:val="0"/>
      <w:divBdr>
        <w:top w:val="none" w:sz="0" w:space="0" w:color="auto"/>
        <w:left w:val="none" w:sz="0" w:space="0" w:color="auto"/>
        <w:bottom w:val="none" w:sz="0" w:space="0" w:color="auto"/>
        <w:right w:val="none" w:sz="0" w:space="0" w:color="auto"/>
      </w:divBdr>
    </w:div>
    <w:div w:id="2008244910">
      <w:bodyDiv w:val="1"/>
      <w:marLeft w:val="0"/>
      <w:marRight w:val="0"/>
      <w:marTop w:val="0"/>
      <w:marBottom w:val="0"/>
      <w:divBdr>
        <w:top w:val="none" w:sz="0" w:space="0" w:color="auto"/>
        <w:left w:val="none" w:sz="0" w:space="0" w:color="auto"/>
        <w:bottom w:val="none" w:sz="0" w:space="0" w:color="auto"/>
        <w:right w:val="none" w:sz="0" w:space="0" w:color="auto"/>
      </w:divBdr>
    </w:div>
    <w:div w:id="2016881404">
      <w:bodyDiv w:val="1"/>
      <w:marLeft w:val="0"/>
      <w:marRight w:val="0"/>
      <w:marTop w:val="0"/>
      <w:marBottom w:val="0"/>
      <w:divBdr>
        <w:top w:val="none" w:sz="0" w:space="0" w:color="auto"/>
        <w:left w:val="none" w:sz="0" w:space="0" w:color="auto"/>
        <w:bottom w:val="none" w:sz="0" w:space="0" w:color="auto"/>
        <w:right w:val="none" w:sz="0" w:space="0" w:color="auto"/>
      </w:divBdr>
    </w:div>
    <w:div w:id="2025395279">
      <w:bodyDiv w:val="1"/>
      <w:marLeft w:val="0"/>
      <w:marRight w:val="0"/>
      <w:marTop w:val="0"/>
      <w:marBottom w:val="0"/>
      <w:divBdr>
        <w:top w:val="none" w:sz="0" w:space="0" w:color="auto"/>
        <w:left w:val="none" w:sz="0" w:space="0" w:color="auto"/>
        <w:bottom w:val="none" w:sz="0" w:space="0" w:color="auto"/>
        <w:right w:val="none" w:sz="0" w:space="0" w:color="auto"/>
      </w:divBdr>
    </w:div>
    <w:div w:id="2029943949">
      <w:bodyDiv w:val="1"/>
      <w:marLeft w:val="0"/>
      <w:marRight w:val="0"/>
      <w:marTop w:val="0"/>
      <w:marBottom w:val="0"/>
      <w:divBdr>
        <w:top w:val="none" w:sz="0" w:space="0" w:color="auto"/>
        <w:left w:val="none" w:sz="0" w:space="0" w:color="auto"/>
        <w:bottom w:val="none" w:sz="0" w:space="0" w:color="auto"/>
        <w:right w:val="none" w:sz="0" w:space="0" w:color="auto"/>
      </w:divBdr>
    </w:div>
    <w:div w:id="2036885296">
      <w:bodyDiv w:val="1"/>
      <w:marLeft w:val="0"/>
      <w:marRight w:val="0"/>
      <w:marTop w:val="0"/>
      <w:marBottom w:val="0"/>
      <w:divBdr>
        <w:top w:val="none" w:sz="0" w:space="0" w:color="auto"/>
        <w:left w:val="none" w:sz="0" w:space="0" w:color="auto"/>
        <w:bottom w:val="none" w:sz="0" w:space="0" w:color="auto"/>
        <w:right w:val="none" w:sz="0" w:space="0" w:color="auto"/>
      </w:divBdr>
    </w:div>
    <w:div w:id="2038040500">
      <w:bodyDiv w:val="1"/>
      <w:marLeft w:val="0"/>
      <w:marRight w:val="0"/>
      <w:marTop w:val="0"/>
      <w:marBottom w:val="0"/>
      <w:divBdr>
        <w:top w:val="none" w:sz="0" w:space="0" w:color="auto"/>
        <w:left w:val="none" w:sz="0" w:space="0" w:color="auto"/>
        <w:bottom w:val="none" w:sz="0" w:space="0" w:color="auto"/>
        <w:right w:val="none" w:sz="0" w:space="0" w:color="auto"/>
      </w:divBdr>
    </w:div>
    <w:div w:id="2038970061">
      <w:bodyDiv w:val="1"/>
      <w:marLeft w:val="0"/>
      <w:marRight w:val="0"/>
      <w:marTop w:val="0"/>
      <w:marBottom w:val="0"/>
      <w:divBdr>
        <w:top w:val="none" w:sz="0" w:space="0" w:color="auto"/>
        <w:left w:val="none" w:sz="0" w:space="0" w:color="auto"/>
        <w:bottom w:val="none" w:sz="0" w:space="0" w:color="auto"/>
        <w:right w:val="none" w:sz="0" w:space="0" w:color="auto"/>
      </w:divBdr>
      <w:divsChild>
        <w:div w:id="567421851">
          <w:marLeft w:val="0"/>
          <w:marRight w:val="0"/>
          <w:marTop w:val="0"/>
          <w:marBottom w:val="0"/>
          <w:divBdr>
            <w:top w:val="none" w:sz="0" w:space="0" w:color="auto"/>
            <w:left w:val="none" w:sz="0" w:space="0" w:color="auto"/>
            <w:bottom w:val="none" w:sz="0" w:space="0" w:color="auto"/>
            <w:right w:val="none" w:sz="0" w:space="0" w:color="auto"/>
          </w:divBdr>
        </w:div>
      </w:divsChild>
    </w:div>
    <w:div w:id="2040352571">
      <w:bodyDiv w:val="1"/>
      <w:marLeft w:val="0"/>
      <w:marRight w:val="0"/>
      <w:marTop w:val="0"/>
      <w:marBottom w:val="0"/>
      <w:divBdr>
        <w:top w:val="none" w:sz="0" w:space="0" w:color="auto"/>
        <w:left w:val="none" w:sz="0" w:space="0" w:color="auto"/>
        <w:bottom w:val="none" w:sz="0" w:space="0" w:color="auto"/>
        <w:right w:val="none" w:sz="0" w:space="0" w:color="auto"/>
      </w:divBdr>
    </w:div>
    <w:div w:id="2047023294">
      <w:bodyDiv w:val="1"/>
      <w:marLeft w:val="0"/>
      <w:marRight w:val="0"/>
      <w:marTop w:val="0"/>
      <w:marBottom w:val="0"/>
      <w:divBdr>
        <w:top w:val="none" w:sz="0" w:space="0" w:color="auto"/>
        <w:left w:val="none" w:sz="0" w:space="0" w:color="auto"/>
        <w:bottom w:val="none" w:sz="0" w:space="0" w:color="auto"/>
        <w:right w:val="none" w:sz="0" w:space="0" w:color="auto"/>
      </w:divBdr>
    </w:div>
    <w:div w:id="2059428482">
      <w:bodyDiv w:val="1"/>
      <w:marLeft w:val="0"/>
      <w:marRight w:val="0"/>
      <w:marTop w:val="0"/>
      <w:marBottom w:val="0"/>
      <w:divBdr>
        <w:top w:val="none" w:sz="0" w:space="0" w:color="auto"/>
        <w:left w:val="none" w:sz="0" w:space="0" w:color="auto"/>
        <w:bottom w:val="none" w:sz="0" w:space="0" w:color="auto"/>
        <w:right w:val="none" w:sz="0" w:space="0" w:color="auto"/>
      </w:divBdr>
    </w:div>
    <w:div w:id="2060473611">
      <w:bodyDiv w:val="1"/>
      <w:marLeft w:val="0"/>
      <w:marRight w:val="0"/>
      <w:marTop w:val="0"/>
      <w:marBottom w:val="0"/>
      <w:divBdr>
        <w:top w:val="none" w:sz="0" w:space="0" w:color="auto"/>
        <w:left w:val="none" w:sz="0" w:space="0" w:color="auto"/>
        <w:bottom w:val="none" w:sz="0" w:space="0" w:color="auto"/>
        <w:right w:val="none" w:sz="0" w:space="0" w:color="auto"/>
      </w:divBdr>
    </w:div>
    <w:div w:id="2064518980">
      <w:bodyDiv w:val="1"/>
      <w:marLeft w:val="0"/>
      <w:marRight w:val="0"/>
      <w:marTop w:val="0"/>
      <w:marBottom w:val="0"/>
      <w:divBdr>
        <w:top w:val="none" w:sz="0" w:space="0" w:color="auto"/>
        <w:left w:val="none" w:sz="0" w:space="0" w:color="auto"/>
        <w:bottom w:val="none" w:sz="0" w:space="0" w:color="auto"/>
        <w:right w:val="none" w:sz="0" w:space="0" w:color="auto"/>
      </w:divBdr>
    </w:div>
    <w:div w:id="2065983945">
      <w:bodyDiv w:val="1"/>
      <w:marLeft w:val="0"/>
      <w:marRight w:val="0"/>
      <w:marTop w:val="0"/>
      <w:marBottom w:val="0"/>
      <w:divBdr>
        <w:top w:val="none" w:sz="0" w:space="0" w:color="auto"/>
        <w:left w:val="none" w:sz="0" w:space="0" w:color="auto"/>
        <w:bottom w:val="none" w:sz="0" w:space="0" w:color="auto"/>
        <w:right w:val="none" w:sz="0" w:space="0" w:color="auto"/>
      </w:divBdr>
    </w:div>
    <w:div w:id="2072649554">
      <w:bodyDiv w:val="1"/>
      <w:marLeft w:val="0"/>
      <w:marRight w:val="0"/>
      <w:marTop w:val="0"/>
      <w:marBottom w:val="0"/>
      <w:divBdr>
        <w:top w:val="none" w:sz="0" w:space="0" w:color="auto"/>
        <w:left w:val="none" w:sz="0" w:space="0" w:color="auto"/>
        <w:bottom w:val="none" w:sz="0" w:space="0" w:color="auto"/>
        <w:right w:val="none" w:sz="0" w:space="0" w:color="auto"/>
      </w:divBdr>
    </w:div>
    <w:div w:id="2072802331">
      <w:bodyDiv w:val="1"/>
      <w:marLeft w:val="0"/>
      <w:marRight w:val="0"/>
      <w:marTop w:val="0"/>
      <w:marBottom w:val="0"/>
      <w:divBdr>
        <w:top w:val="none" w:sz="0" w:space="0" w:color="auto"/>
        <w:left w:val="none" w:sz="0" w:space="0" w:color="auto"/>
        <w:bottom w:val="none" w:sz="0" w:space="0" w:color="auto"/>
        <w:right w:val="none" w:sz="0" w:space="0" w:color="auto"/>
      </w:divBdr>
    </w:div>
    <w:div w:id="2073699112">
      <w:bodyDiv w:val="1"/>
      <w:marLeft w:val="0"/>
      <w:marRight w:val="0"/>
      <w:marTop w:val="0"/>
      <w:marBottom w:val="0"/>
      <w:divBdr>
        <w:top w:val="none" w:sz="0" w:space="0" w:color="auto"/>
        <w:left w:val="none" w:sz="0" w:space="0" w:color="auto"/>
        <w:bottom w:val="none" w:sz="0" w:space="0" w:color="auto"/>
        <w:right w:val="none" w:sz="0" w:space="0" w:color="auto"/>
      </w:divBdr>
      <w:divsChild>
        <w:div w:id="282611393">
          <w:marLeft w:val="0"/>
          <w:marRight w:val="0"/>
          <w:marTop w:val="0"/>
          <w:marBottom w:val="0"/>
          <w:divBdr>
            <w:top w:val="none" w:sz="0" w:space="0" w:color="auto"/>
            <w:left w:val="none" w:sz="0" w:space="0" w:color="auto"/>
            <w:bottom w:val="none" w:sz="0" w:space="0" w:color="auto"/>
            <w:right w:val="none" w:sz="0" w:space="0" w:color="auto"/>
          </w:divBdr>
        </w:div>
        <w:div w:id="521431023">
          <w:marLeft w:val="0"/>
          <w:marRight w:val="0"/>
          <w:marTop w:val="0"/>
          <w:marBottom w:val="0"/>
          <w:divBdr>
            <w:top w:val="none" w:sz="0" w:space="0" w:color="auto"/>
            <w:left w:val="none" w:sz="0" w:space="0" w:color="auto"/>
            <w:bottom w:val="none" w:sz="0" w:space="0" w:color="auto"/>
            <w:right w:val="none" w:sz="0" w:space="0" w:color="auto"/>
          </w:divBdr>
        </w:div>
        <w:div w:id="576211749">
          <w:marLeft w:val="0"/>
          <w:marRight w:val="0"/>
          <w:marTop w:val="0"/>
          <w:marBottom w:val="0"/>
          <w:divBdr>
            <w:top w:val="none" w:sz="0" w:space="0" w:color="auto"/>
            <w:left w:val="none" w:sz="0" w:space="0" w:color="auto"/>
            <w:bottom w:val="none" w:sz="0" w:space="0" w:color="auto"/>
            <w:right w:val="none" w:sz="0" w:space="0" w:color="auto"/>
          </w:divBdr>
        </w:div>
        <w:div w:id="665984423">
          <w:marLeft w:val="0"/>
          <w:marRight w:val="0"/>
          <w:marTop w:val="0"/>
          <w:marBottom w:val="0"/>
          <w:divBdr>
            <w:top w:val="none" w:sz="0" w:space="0" w:color="auto"/>
            <w:left w:val="none" w:sz="0" w:space="0" w:color="auto"/>
            <w:bottom w:val="none" w:sz="0" w:space="0" w:color="auto"/>
            <w:right w:val="none" w:sz="0" w:space="0" w:color="auto"/>
          </w:divBdr>
        </w:div>
        <w:div w:id="992831907">
          <w:marLeft w:val="0"/>
          <w:marRight w:val="0"/>
          <w:marTop w:val="0"/>
          <w:marBottom w:val="0"/>
          <w:divBdr>
            <w:top w:val="none" w:sz="0" w:space="0" w:color="auto"/>
            <w:left w:val="none" w:sz="0" w:space="0" w:color="auto"/>
            <w:bottom w:val="none" w:sz="0" w:space="0" w:color="auto"/>
            <w:right w:val="none" w:sz="0" w:space="0" w:color="auto"/>
          </w:divBdr>
        </w:div>
        <w:div w:id="1302925961">
          <w:marLeft w:val="0"/>
          <w:marRight w:val="0"/>
          <w:marTop w:val="0"/>
          <w:marBottom w:val="0"/>
          <w:divBdr>
            <w:top w:val="none" w:sz="0" w:space="0" w:color="auto"/>
            <w:left w:val="none" w:sz="0" w:space="0" w:color="auto"/>
            <w:bottom w:val="none" w:sz="0" w:space="0" w:color="auto"/>
            <w:right w:val="none" w:sz="0" w:space="0" w:color="auto"/>
          </w:divBdr>
        </w:div>
        <w:div w:id="1658069786">
          <w:marLeft w:val="0"/>
          <w:marRight w:val="0"/>
          <w:marTop w:val="0"/>
          <w:marBottom w:val="0"/>
          <w:divBdr>
            <w:top w:val="none" w:sz="0" w:space="0" w:color="auto"/>
            <w:left w:val="none" w:sz="0" w:space="0" w:color="auto"/>
            <w:bottom w:val="none" w:sz="0" w:space="0" w:color="auto"/>
            <w:right w:val="none" w:sz="0" w:space="0" w:color="auto"/>
          </w:divBdr>
        </w:div>
        <w:div w:id="1768848906">
          <w:marLeft w:val="0"/>
          <w:marRight w:val="0"/>
          <w:marTop w:val="0"/>
          <w:marBottom w:val="0"/>
          <w:divBdr>
            <w:top w:val="none" w:sz="0" w:space="0" w:color="auto"/>
            <w:left w:val="none" w:sz="0" w:space="0" w:color="auto"/>
            <w:bottom w:val="none" w:sz="0" w:space="0" w:color="auto"/>
            <w:right w:val="none" w:sz="0" w:space="0" w:color="auto"/>
          </w:divBdr>
        </w:div>
        <w:div w:id="1881742591">
          <w:marLeft w:val="0"/>
          <w:marRight w:val="0"/>
          <w:marTop w:val="0"/>
          <w:marBottom w:val="0"/>
          <w:divBdr>
            <w:top w:val="none" w:sz="0" w:space="0" w:color="auto"/>
            <w:left w:val="none" w:sz="0" w:space="0" w:color="auto"/>
            <w:bottom w:val="none" w:sz="0" w:space="0" w:color="auto"/>
            <w:right w:val="none" w:sz="0" w:space="0" w:color="auto"/>
          </w:divBdr>
        </w:div>
        <w:div w:id="1920628266">
          <w:marLeft w:val="0"/>
          <w:marRight w:val="0"/>
          <w:marTop w:val="0"/>
          <w:marBottom w:val="0"/>
          <w:divBdr>
            <w:top w:val="none" w:sz="0" w:space="0" w:color="auto"/>
            <w:left w:val="none" w:sz="0" w:space="0" w:color="auto"/>
            <w:bottom w:val="none" w:sz="0" w:space="0" w:color="auto"/>
            <w:right w:val="none" w:sz="0" w:space="0" w:color="auto"/>
          </w:divBdr>
        </w:div>
      </w:divsChild>
    </w:div>
    <w:div w:id="2077782296">
      <w:bodyDiv w:val="1"/>
      <w:marLeft w:val="0"/>
      <w:marRight w:val="0"/>
      <w:marTop w:val="0"/>
      <w:marBottom w:val="0"/>
      <w:divBdr>
        <w:top w:val="none" w:sz="0" w:space="0" w:color="auto"/>
        <w:left w:val="none" w:sz="0" w:space="0" w:color="auto"/>
        <w:bottom w:val="none" w:sz="0" w:space="0" w:color="auto"/>
        <w:right w:val="none" w:sz="0" w:space="0" w:color="auto"/>
      </w:divBdr>
    </w:div>
    <w:div w:id="2081170332">
      <w:bodyDiv w:val="1"/>
      <w:marLeft w:val="0"/>
      <w:marRight w:val="0"/>
      <w:marTop w:val="0"/>
      <w:marBottom w:val="0"/>
      <w:divBdr>
        <w:top w:val="none" w:sz="0" w:space="0" w:color="auto"/>
        <w:left w:val="none" w:sz="0" w:space="0" w:color="auto"/>
        <w:bottom w:val="none" w:sz="0" w:space="0" w:color="auto"/>
        <w:right w:val="none" w:sz="0" w:space="0" w:color="auto"/>
      </w:divBdr>
    </w:div>
    <w:div w:id="2081514090">
      <w:bodyDiv w:val="1"/>
      <w:marLeft w:val="0"/>
      <w:marRight w:val="0"/>
      <w:marTop w:val="0"/>
      <w:marBottom w:val="0"/>
      <w:divBdr>
        <w:top w:val="none" w:sz="0" w:space="0" w:color="auto"/>
        <w:left w:val="none" w:sz="0" w:space="0" w:color="auto"/>
        <w:bottom w:val="none" w:sz="0" w:space="0" w:color="auto"/>
        <w:right w:val="none" w:sz="0" w:space="0" w:color="auto"/>
      </w:divBdr>
    </w:div>
    <w:div w:id="2085711945">
      <w:bodyDiv w:val="1"/>
      <w:marLeft w:val="0"/>
      <w:marRight w:val="0"/>
      <w:marTop w:val="0"/>
      <w:marBottom w:val="0"/>
      <w:divBdr>
        <w:top w:val="none" w:sz="0" w:space="0" w:color="auto"/>
        <w:left w:val="none" w:sz="0" w:space="0" w:color="auto"/>
        <w:bottom w:val="none" w:sz="0" w:space="0" w:color="auto"/>
        <w:right w:val="none" w:sz="0" w:space="0" w:color="auto"/>
      </w:divBdr>
    </w:div>
    <w:div w:id="2087729443">
      <w:bodyDiv w:val="1"/>
      <w:marLeft w:val="0"/>
      <w:marRight w:val="0"/>
      <w:marTop w:val="0"/>
      <w:marBottom w:val="0"/>
      <w:divBdr>
        <w:top w:val="none" w:sz="0" w:space="0" w:color="auto"/>
        <w:left w:val="none" w:sz="0" w:space="0" w:color="auto"/>
        <w:bottom w:val="none" w:sz="0" w:space="0" w:color="auto"/>
        <w:right w:val="none" w:sz="0" w:space="0" w:color="auto"/>
      </w:divBdr>
    </w:div>
    <w:div w:id="2101216476">
      <w:bodyDiv w:val="1"/>
      <w:marLeft w:val="0"/>
      <w:marRight w:val="0"/>
      <w:marTop w:val="0"/>
      <w:marBottom w:val="0"/>
      <w:divBdr>
        <w:top w:val="none" w:sz="0" w:space="0" w:color="auto"/>
        <w:left w:val="none" w:sz="0" w:space="0" w:color="auto"/>
        <w:bottom w:val="none" w:sz="0" w:space="0" w:color="auto"/>
        <w:right w:val="none" w:sz="0" w:space="0" w:color="auto"/>
      </w:divBdr>
    </w:div>
    <w:div w:id="2106723327">
      <w:bodyDiv w:val="1"/>
      <w:marLeft w:val="0"/>
      <w:marRight w:val="0"/>
      <w:marTop w:val="0"/>
      <w:marBottom w:val="0"/>
      <w:divBdr>
        <w:top w:val="none" w:sz="0" w:space="0" w:color="auto"/>
        <w:left w:val="none" w:sz="0" w:space="0" w:color="auto"/>
        <w:bottom w:val="none" w:sz="0" w:space="0" w:color="auto"/>
        <w:right w:val="none" w:sz="0" w:space="0" w:color="auto"/>
      </w:divBdr>
      <w:divsChild>
        <w:div w:id="2129816063">
          <w:marLeft w:val="0"/>
          <w:marRight w:val="0"/>
          <w:marTop w:val="0"/>
          <w:marBottom w:val="0"/>
          <w:divBdr>
            <w:top w:val="none" w:sz="0" w:space="0" w:color="auto"/>
            <w:left w:val="none" w:sz="0" w:space="0" w:color="auto"/>
            <w:bottom w:val="none" w:sz="0" w:space="0" w:color="auto"/>
            <w:right w:val="none" w:sz="0" w:space="0" w:color="auto"/>
          </w:divBdr>
          <w:divsChild>
            <w:div w:id="246773104">
              <w:marLeft w:val="0"/>
              <w:marRight w:val="0"/>
              <w:marTop w:val="0"/>
              <w:marBottom w:val="0"/>
              <w:divBdr>
                <w:top w:val="none" w:sz="0" w:space="0" w:color="auto"/>
                <w:left w:val="none" w:sz="0" w:space="0" w:color="auto"/>
                <w:bottom w:val="none" w:sz="0" w:space="0" w:color="auto"/>
                <w:right w:val="none" w:sz="0" w:space="0" w:color="auto"/>
              </w:divBdr>
              <w:divsChild>
                <w:div w:id="627594026">
                  <w:marLeft w:val="0"/>
                  <w:marRight w:val="0"/>
                  <w:marTop w:val="0"/>
                  <w:marBottom w:val="0"/>
                  <w:divBdr>
                    <w:top w:val="none" w:sz="0" w:space="0" w:color="auto"/>
                    <w:left w:val="none" w:sz="0" w:space="0" w:color="auto"/>
                    <w:bottom w:val="none" w:sz="0" w:space="0" w:color="auto"/>
                    <w:right w:val="none" w:sz="0" w:space="0" w:color="auto"/>
                  </w:divBdr>
                  <w:divsChild>
                    <w:div w:id="1136222316">
                      <w:marLeft w:val="0"/>
                      <w:marRight w:val="0"/>
                      <w:marTop w:val="0"/>
                      <w:marBottom w:val="0"/>
                      <w:divBdr>
                        <w:top w:val="none" w:sz="0" w:space="0" w:color="auto"/>
                        <w:left w:val="none" w:sz="0" w:space="0" w:color="auto"/>
                        <w:bottom w:val="none" w:sz="0" w:space="0" w:color="auto"/>
                        <w:right w:val="none" w:sz="0" w:space="0" w:color="auto"/>
                      </w:divBdr>
                      <w:divsChild>
                        <w:div w:id="1556820644">
                          <w:marLeft w:val="405"/>
                          <w:marRight w:val="0"/>
                          <w:marTop w:val="0"/>
                          <w:marBottom w:val="0"/>
                          <w:divBdr>
                            <w:top w:val="none" w:sz="0" w:space="0" w:color="auto"/>
                            <w:left w:val="none" w:sz="0" w:space="0" w:color="auto"/>
                            <w:bottom w:val="none" w:sz="0" w:space="0" w:color="auto"/>
                            <w:right w:val="none" w:sz="0" w:space="0" w:color="auto"/>
                          </w:divBdr>
                          <w:divsChild>
                            <w:div w:id="608663800">
                              <w:marLeft w:val="0"/>
                              <w:marRight w:val="0"/>
                              <w:marTop w:val="0"/>
                              <w:marBottom w:val="0"/>
                              <w:divBdr>
                                <w:top w:val="none" w:sz="0" w:space="0" w:color="auto"/>
                                <w:left w:val="none" w:sz="0" w:space="0" w:color="auto"/>
                                <w:bottom w:val="none" w:sz="0" w:space="0" w:color="auto"/>
                                <w:right w:val="none" w:sz="0" w:space="0" w:color="auto"/>
                              </w:divBdr>
                              <w:divsChild>
                                <w:div w:id="728311571">
                                  <w:marLeft w:val="0"/>
                                  <w:marRight w:val="0"/>
                                  <w:marTop w:val="0"/>
                                  <w:marBottom w:val="0"/>
                                  <w:divBdr>
                                    <w:top w:val="none" w:sz="0" w:space="0" w:color="auto"/>
                                    <w:left w:val="none" w:sz="0" w:space="0" w:color="auto"/>
                                    <w:bottom w:val="none" w:sz="0" w:space="0" w:color="auto"/>
                                    <w:right w:val="none" w:sz="0" w:space="0" w:color="auto"/>
                                  </w:divBdr>
                                  <w:divsChild>
                                    <w:div w:id="324629573">
                                      <w:marLeft w:val="0"/>
                                      <w:marRight w:val="0"/>
                                      <w:marTop w:val="60"/>
                                      <w:marBottom w:val="0"/>
                                      <w:divBdr>
                                        <w:top w:val="none" w:sz="0" w:space="0" w:color="auto"/>
                                        <w:left w:val="none" w:sz="0" w:space="0" w:color="auto"/>
                                        <w:bottom w:val="none" w:sz="0" w:space="0" w:color="auto"/>
                                        <w:right w:val="none" w:sz="0" w:space="0" w:color="auto"/>
                                      </w:divBdr>
                                      <w:divsChild>
                                        <w:div w:id="663901427">
                                          <w:marLeft w:val="0"/>
                                          <w:marRight w:val="0"/>
                                          <w:marTop w:val="0"/>
                                          <w:marBottom w:val="0"/>
                                          <w:divBdr>
                                            <w:top w:val="none" w:sz="0" w:space="0" w:color="auto"/>
                                            <w:left w:val="none" w:sz="0" w:space="0" w:color="auto"/>
                                            <w:bottom w:val="none" w:sz="0" w:space="0" w:color="auto"/>
                                            <w:right w:val="none" w:sz="0" w:space="0" w:color="auto"/>
                                          </w:divBdr>
                                          <w:divsChild>
                                            <w:div w:id="1548645121">
                                              <w:marLeft w:val="0"/>
                                              <w:marRight w:val="0"/>
                                              <w:marTop w:val="0"/>
                                              <w:marBottom w:val="0"/>
                                              <w:divBdr>
                                                <w:top w:val="none" w:sz="0" w:space="0" w:color="auto"/>
                                                <w:left w:val="none" w:sz="0" w:space="0" w:color="auto"/>
                                                <w:bottom w:val="none" w:sz="0" w:space="0" w:color="auto"/>
                                                <w:right w:val="none" w:sz="0" w:space="0" w:color="auto"/>
                                              </w:divBdr>
                                              <w:divsChild>
                                                <w:div w:id="1839466212">
                                                  <w:marLeft w:val="0"/>
                                                  <w:marRight w:val="0"/>
                                                  <w:marTop w:val="0"/>
                                                  <w:marBottom w:val="0"/>
                                                  <w:divBdr>
                                                    <w:top w:val="none" w:sz="0" w:space="0" w:color="auto"/>
                                                    <w:left w:val="none" w:sz="0" w:space="0" w:color="auto"/>
                                                    <w:bottom w:val="none" w:sz="0" w:space="0" w:color="auto"/>
                                                    <w:right w:val="none" w:sz="0" w:space="0" w:color="auto"/>
                                                  </w:divBdr>
                                                  <w:divsChild>
                                                    <w:div w:id="324935398">
                                                      <w:marLeft w:val="0"/>
                                                      <w:marRight w:val="0"/>
                                                      <w:marTop w:val="0"/>
                                                      <w:marBottom w:val="0"/>
                                                      <w:divBdr>
                                                        <w:top w:val="none" w:sz="0" w:space="0" w:color="auto"/>
                                                        <w:left w:val="none" w:sz="0" w:space="0" w:color="auto"/>
                                                        <w:bottom w:val="none" w:sz="0" w:space="0" w:color="auto"/>
                                                        <w:right w:val="none" w:sz="0" w:space="0" w:color="auto"/>
                                                      </w:divBdr>
                                                      <w:divsChild>
                                                        <w:div w:id="1255090743">
                                                          <w:marLeft w:val="0"/>
                                                          <w:marRight w:val="0"/>
                                                          <w:marTop w:val="0"/>
                                                          <w:marBottom w:val="0"/>
                                                          <w:divBdr>
                                                            <w:top w:val="none" w:sz="0" w:space="0" w:color="auto"/>
                                                            <w:left w:val="none" w:sz="0" w:space="0" w:color="auto"/>
                                                            <w:bottom w:val="none" w:sz="0" w:space="0" w:color="auto"/>
                                                            <w:right w:val="none" w:sz="0" w:space="0" w:color="auto"/>
                                                          </w:divBdr>
                                                          <w:divsChild>
                                                            <w:div w:id="1759323124">
                                                              <w:marLeft w:val="0"/>
                                                              <w:marRight w:val="0"/>
                                                              <w:marTop w:val="0"/>
                                                              <w:marBottom w:val="0"/>
                                                              <w:divBdr>
                                                                <w:top w:val="none" w:sz="0" w:space="0" w:color="auto"/>
                                                                <w:left w:val="none" w:sz="0" w:space="0" w:color="auto"/>
                                                                <w:bottom w:val="none" w:sz="0" w:space="0" w:color="auto"/>
                                                                <w:right w:val="none" w:sz="0" w:space="0" w:color="auto"/>
                                                              </w:divBdr>
                                                              <w:divsChild>
                                                                <w:div w:id="169418824">
                                                                  <w:marLeft w:val="0"/>
                                                                  <w:marRight w:val="0"/>
                                                                  <w:marTop w:val="0"/>
                                                                  <w:marBottom w:val="0"/>
                                                                  <w:divBdr>
                                                                    <w:top w:val="none" w:sz="0" w:space="0" w:color="auto"/>
                                                                    <w:left w:val="none" w:sz="0" w:space="0" w:color="auto"/>
                                                                    <w:bottom w:val="none" w:sz="0" w:space="0" w:color="auto"/>
                                                                    <w:right w:val="none" w:sz="0" w:space="0" w:color="auto"/>
                                                                  </w:divBdr>
                                                                  <w:divsChild>
                                                                    <w:div w:id="10594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8207021">
      <w:bodyDiv w:val="1"/>
      <w:marLeft w:val="0"/>
      <w:marRight w:val="0"/>
      <w:marTop w:val="0"/>
      <w:marBottom w:val="0"/>
      <w:divBdr>
        <w:top w:val="none" w:sz="0" w:space="0" w:color="auto"/>
        <w:left w:val="none" w:sz="0" w:space="0" w:color="auto"/>
        <w:bottom w:val="none" w:sz="0" w:space="0" w:color="auto"/>
        <w:right w:val="none" w:sz="0" w:space="0" w:color="auto"/>
      </w:divBdr>
    </w:div>
    <w:div w:id="2122602778">
      <w:bodyDiv w:val="1"/>
      <w:marLeft w:val="0"/>
      <w:marRight w:val="0"/>
      <w:marTop w:val="0"/>
      <w:marBottom w:val="0"/>
      <w:divBdr>
        <w:top w:val="none" w:sz="0" w:space="0" w:color="auto"/>
        <w:left w:val="none" w:sz="0" w:space="0" w:color="auto"/>
        <w:bottom w:val="none" w:sz="0" w:space="0" w:color="auto"/>
        <w:right w:val="none" w:sz="0" w:space="0" w:color="auto"/>
      </w:divBdr>
    </w:div>
    <w:div w:id="2124231399">
      <w:bodyDiv w:val="1"/>
      <w:marLeft w:val="0"/>
      <w:marRight w:val="0"/>
      <w:marTop w:val="0"/>
      <w:marBottom w:val="0"/>
      <w:divBdr>
        <w:top w:val="none" w:sz="0" w:space="0" w:color="auto"/>
        <w:left w:val="none" w:sz="0" w:space="0" w:color="auto"/>
        <w:bottom w:val="none" w:sz="0" w:space="0" w:color="auto"/>
        <w:right w:val="none" w:sz="0" w:space="0" w:color="auto"/>
      </w:divBdr>
    </w:div>
    <w:div w:id="2126775898">
      <w:bodyDiv w:val="1"/>
      <w:marLeft w:val="0"/>
      <w:marRight w:val="0"/>
      <w:marTop w:val="0"/>
      <w:marBottom w:val="0"/>
      <w:divBdr>
        <w:top w:val="none" w:sz="0" w:space="0" w:color="auto"/>
        <w:left w:val="none" w:sz="0" w:space="0" w:color="auto"/>
        <w:bottom w:val="none" w:sz="0" w:space="0" w:color="auto"/>
        <w:right w:val="none" w:sz="0" w:space="0" w:color="auto"/>
      </w:divBdr>
    </w:div>
    <w:div w:id="2128812998">
      <w:bodyDiv w:val="1"/>
      <w:marLeft w:val="0"/>
      <w:marRight w:val="0"/>
      <w:marTop w:val="0"/>
      <w:marBottom w:val="0"/>
      <w:divBdr>
        <w:top w:val="none" w:sz="0" w:space="0" w:color="auto"/>
        <w:left w:val="none" w:sz="0" w:space="0" w:color="auto"/>
        <w:bottom w:val="none" w:sz="0" w:space="0" w:color="auto"/>
        <w:right w:val="none" w:sz="0" w:space="0" w:color="auto"/>
      </w:divBdr>
    </w:div>
    <w:div w:id="2132236398">
      <w:bodyDiv w:val="1"/>
      <w:marLeft w:val="0"/>
      <w:marRight w:val="0"/>
      <w:marTop w:val="0"/>
      <w:marBottom w:val="0"/>
      <w:divBdr>
        <w:top w:val="none" w:sz="0" w:space="0" w:color="auto"/>
        <w:left w:val="none" w:sz="0" w:space="0" w:color="auto"/>
        <w:bottom w:val="none" w:sz="0" w:space="0" w:color="auto"/>
        <w:right w:val="none" w:sz="0" w:space="0" w:color="auto"/>
      </w:divBdr>
    </w:div>
    <w:div w:id="2133354257">
      <w:bodyDiv w:val="1"/>
      <w:marLeft w:val="0"/>
      <w:marRight w:val="0"/>
      <w:marTop w:val="0"/>
      <w:marBottom w:val="0"/>
      <w:divBdr>
        <w:top w:val="none" w:sz="0" w:space="0" w:color="auto"/>
        <w:left w:val="none" w:sz="0" w:space="0" w:color="auto"/>
        <w:bottom w:val="none" w:sz="0" w:space="0" w:color="auto"/>
        <w:right w:val="none" w:sz="0" w:space="0" w:color="auto"/>
      </w:divBdr>
    </w:div>
    <w:div w:id="2133472560">
      <w:bodyDiv w:val="1"/>
      <w:marLeft w:val="0"/>
      <w:marRight w:val="0"/>
      <w:marTop w:val="0"/>
      <w:marBottom w:val="0"/>
      <w:divBdr>
        <w:top w:val="none" w:sz="0" w:space="0" w:color="auto"/>
        <w:left w:val="none" w:sz="0" w:space="0" w:color="auto"/>
        <w:bottom w:val="none" w:sz="0" w:space="0" w:color="auto"/>
        <w:right w:val="none" w:sz="0" w:space="0" w:color="auto"/>
      </w:divBdr>
    </w:div>
    <w:div w:id="2142259221">
      <w:bodyDiv w:val="1"/>
      <w:marLeft w:val="0"/>
      <w:marRight w:val="0"/>
      <w:marTop w:val="0"/>
      <w:marBottom w:val="0"/>
      <w:divBdr>
        <w:top w:val="none" w:sz="0" w:space="0" w:color="auto"/>
        <w:left w:val="none" w:sz="0" w:space="0" w:color="auto"/>
        <w:bottom w:val="none" w:sz="0" w:space="0" w:color="auto"/>
        <w:right w:val="none" w:sz="0" w:space="0" w:color="auto"/>
      </w:divBdr>
    </w:div>
    <w:div w:id="21449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7E3E-E728-4484-802E-F84EAC3B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51</Pages>
  <Words>20759</Words>
  <Characters>125854</Characters>
  <Application>Microsoft Office Word</Application>
  <DocSecurity>0</DocSecurity>
  <Lines>1048</Lines>
  <Paragraphs>292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BILJEŠKE UZ FINANCIJSKE IZVJEŠTAJE</vt:lpstr>
      <vt:lpstr>BILJEŠKE UZ FINANCIJSKE IZVJEŠTAJE</vt:lpstr>
    </vt:vector>
  </TitlesOfParts>
  <Company>SDR</Company>
  <LinksUpToDate>false</LinksUpToDate>
  <CharactersWithSpaces>146321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FINANCIJSKE IZVJEŠTAJE</dc:title>
  <dc:creator>mkaracic</dc:creator>
  <cp:lastModifiedBy>Katarina Nesterović</cp:lastModifiedBy>
  <cp:revision>5</cp:revision>
  <cp:lastPrinted>2023-02-28T11:28:00Z</cp:lastPrinted>
  <dcterms:created xsi:type="dcterms:W3CDTF">2023-02-28T15:59:00Z</dcterms:created>
  <dcterms:modified xsi:type="dcterms:W3CDTF">2023-03-06T10:03:00Z</dcterms:modified>
</cp:coreProperties>
</file>